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10" w:rsidRDefault="009E3510" w:rsidP="009E3510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E3510" w:rsidRDefault="009E3510" w:rsidP="009E3510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E3510" w:rsidRDefault="009E3510" w:rsidP="009E3510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E3510" w:rsidRDefault="009E3510" w:rsidP="009E3510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E3510" w:rsidRDefault="009E3510" w:rsidP="009E3510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E3510" w:rsidRDefault="009E3510" w:rsidP="009E3510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E3510" w:rsidRDefault="009E3510" w:rsidP="009E3510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6094F" w:rsidRPr="00F55342" w:rsidRDefault="003C46AB" w:rsidP="009E3510">
      <w:pPr>
        <w:spacing w:line="360" w:lineRule="auto"/>
        <w:ind w:left="360"/>
        <w:jc w:val="both"/>
        <w:rPr>
          <w:rFonts w:ascii="Arial" w:hAnsi="Arial" w:cs="Arial"/>
          <w:b/>
          <w:sz w:val="40"/>
          <w:szCs w:val="40"/>
        </w:rPr>
      </w:pPr>
      <w:r w:rsidRPr="00F55342">
        <w:rPr>
          <w:rFonts w:ascii="Arial" w:hAnsi="Arial" w:cs="Arial"/>
          <w:b/>
          <w:sz w:val="40"/>
          <w:szCs w:val="40"/>
        </w:rPr>
        <w:t>A VINCULAÇÃO DA INDENIZAÇÃO DE TRANSPORTE À REMUNERAÇÃO</w:t>
      </w:r>
      <w:r w:rsidR="0006445F" w:rsidRPr="00F55342">
        <w:rPr>
          <w:rFonts w:ascii="Arial" w:hAnsi="Arial" w:cs="Arial"/>
          <w:b/>
          <w:sz w:val="40"/>
          <w:szCs w:val="40"/>
        </w:rPr>
        <w:t xml:space="preserve"> DO SERVIDOR</w:t>
      </w:r>
      <w:r w:rsidR="00204379" w:rsidRPr="00F55342">
        <w:rPr>
          <w:rFonts w:ascii="Arial" w:hAnsi="Arial" w:cs="Arial"/>
          <w:b/>
          <w:sz w:val="40"/>
          <w:szCs w:val="40"/>
        </w:rPr>
        <w:t xml:space="preserve"> E A NECESSIDADE DE RECOMPOSIÇÃO ANUAL</w:t>
      </w:r>
    </w:p>
    <w:p w:rsidR="00916D96" w:rsidRPr="00F55342" w:rsidRDefault="00916D96" w:rsidP="00CA6FEB">
      <w:pPr>
        <w:spacing w:line="360" w:lineRule="auto"/>
        <w:rPr>
          <w:rFonts w:ascii="Arial" w:hAnsi="Arial" w:cs="Arial"/>
          <w:sz w:val="24"/>
          <w:szCs w:val="24"/>
        </w:rPr>
      </w:pPr>
    </w:p>
    <w:p w:rsidR="009E3510" w:rsidRPr="00F55342" w:rsidRDefault="009E3510" w:rsidP="00CA6FEB">
      <w:pPr>
        <w:spacing w:line="360" w:lineRule="auto"/>
        <w:rPr>
          <w:rFonts w:ascii="Arial" w:hAnsi="Arial" w:cs="Arial"/>
          <w:sz w:val="24"/>
          <w:szCs w:val="24"/>
        </w:rPr>
      </w:pPr>
    </w:p>
    <w:p w:rsidR="009E3510" w:rsidRPr="00F55342" w:rsidRDefault="009E3510" w:rsidP="00CA6FEB">
      <w:pPr>
        <w:spacing w:line="360" w:lineRule="auto"/>
        <w:rPr>
          <w:rFonts w:ascii="Arial" w:hAnsi="Arial" w:cs="Arial"/>
          <w:sz w:val="24"/>
          <w:szCs w:val="24"/>
        </w:rPr>
      </w:pPr>
    </w:p>
    <w:p w:rsidR="009E3510" w:rsidRPr="00F55342" w:rsidRDefault="009E3510" w:rsidP="00CA6FEB">
      <w:pPr>
        <w:spacing w:line="360" w:lineRule="auto"/>
        <w:rPr>
          <w:rFonts w:ascii="Arial" w:hAnsi="Arial" w:cs="Arial"/>
          <w:sz w:val="24"/>
          <w:szCs w:val="24"/>
        </w:rPr>
      </w:pPr>
    </w:p>
    <w:p w:rsidR="009E3510" w:rsidRPr="00F55342" w:rsidRDefault="009E3510" w:rsidP="00CA6FEB">
      <w:pPr>
        <w:spacing w:line="360" w:lineRule="auto"/>
        <w:rPr>
          <w:rFonts w:ascii="Arial" w:hAnsi="Arial" w:cs="Arial"/>
          <w:sz w:val="24"/>
          <w:szCs w:val="24"/>
        </w:rPr>
      </w:pPr>
    </w:p>
    <w:p w:rsidR="009E3510" w:rsidRPr="00F55342" w:rsidRDefault="006358FD" w:rsidP="00CA6FEB">
      <w:pPr>
        <w:spacing w:line="360" w:lineRule="auto"/>
        <w:rPr>
          <w:rFonts w:ascii="Arial" w:hAnsi="Arial" w:cs="Arial"/>
          <w:sz w:val="24"/>
          <w:szCs w:val="24"/>
        </w:rPr>
      </w:pPr>
      <w:r w:rsidRPr="00F55342">
        <w:rPr>
          <w:rFonts w:ascii="Arial" w:hAnsi="Arial" w:cs="Arial"/>
          <w:sz w:val="24"/>
          <w:szCs w:val="24"/>
        </w:rPr>
        <w:tab/>
      </w:r>
      <w:r w:rsidRPr="00F55342">
        <w:rPr>
          <w:rFonts w:ascii="Arial" w:hAnsi="Arial" w:cs="Arial"/>
          <w:sz w:val="24"/>
          <w:szCs w:val="24"/>
        </w:rPr>
        <w:tab/>
      </w:r>
      <w:r w:rsidRPr="00F55342">
        <w:rPr>
          <w:rFonts w:ascii="Arial" w:hAnsi="Arial" w:cs="Arial"/>
          <w:sz w:val="24"/>
          <w:szCs w:val="24"/>
        </w:rPr>
        <w:tab/>
      </w:r>
      <w:r w:rsidRPr="00F55342">
        <w:rPr>
          <w:rFonts w:ascii="Arial" w:hAnsi="Arial" w:cs="Arial"/>
          <w:sz w:val="24"/>
          <w:szCs w:val="24"/>
        </w:rPr>
        <w:tab/>
      </w:r>
      <w:r w:rsidRPr="00F55342">
        <w:rPr>
          <w:rFonts w:ascii="Arial" w:hAnsi="Arial" w:cs="Arial"/>
          <w:sz w:val="24"/>
          <w:szCs w:val="24"/>
        </w:rPr>
        <w:tab/>
      </w:r>
      <w:r w:rsidRPr="00F55342">
        <w:rPr>
          <w:rFonts w:ascii="Arial" w:hAnsi="Arial" w:cs="Arial"/>
          <w:sz w:val="24"/>
          <w:szCs w:val="24"/>
        </w:rPr>
        <w:tab/>
        <w:t>JULIO ARY BERBERT JUNIOR</w:t>
      </w:r>
    </w:p>
    <w:p w:rsidR="006358FD" w:rsidRPr="00F55342" w:rsidRDefault="006358FD" w:rsidP="00CA6FEB">
      <w:pPr>
        <w:spacing w:line="360" w:lineRule="auto"/>
        <w:rPr>
          <w:rFonts w:ascii="Arial" w:hAnsi="Arial" w:cs="Arial"/>
          <w:sz w:val="24"/>
          <w:szCs w:val="24"/>
        </w:rPr>
      </w:pPr>
      <w:r w:rsidRPr="00F55342">
        <w:rPr>
          <w:rFonts w:ascii="Arial" w:hAnsi="Arial" w:cs="Arial"/>
          <w:sz w:val="24"/>
          <w:szCs w:val="24"/>
        </w:rPr>
        <w:tab/>
      </w:r>
      <w:r w:rsidRPr="00F55342">
        <w:rPr>
          <w:rFonts w:ascii="Arial" w:hAnsi="Arial" w:cs="Arial"/>
          <w:sz w:val="24"/>
          <w:szCs w:val="24"/>
        </w:rPr>
        <w:tab/>
      </w:r>
      <w:r w:rsidRPr="00F55342">
        <w:rPr>
          <w:rFonts w:ascii="Arial" w:hAnsi="Arial" w:cs="Arial"/>
          <w:sz w:val="24"/>
          <w:szCs w:val="24"/>
        </w:rPr>
        <w:tab/>
      </w:r>
      <w:r w:rsidRPr="00F55342">
        <w:rPr>
          <w:rFonts w:ascii="Arial" w:hAnsi="Arial" w:cs="Arial"/>
          <w:sz w:val="24"/>
          <w:szCs w:val="24"/>
        </w:rPr>
        <w:tab/>
      </w:r>
      <w:r w:rsidRPr="00F55342">
        <w:rPr>
          <w:rFonts w:ascii="Arial" w:hAnsi="Arial" w:cs="Arial"/>
          <w:sz w:val="24"/>
          <w:szCs w:val="24"/>
        </w:rPr>
        <w:tab/>
      </w:r>
      <w:r w:rsidRPr="00F55342">
        <w:rPr>
          <w:rFonts w:ascii="Arial" w:hAnsi="Arial" w:cs="Arial"/>
          <w:sz w:val="24"/>
          <w:szCs w:val="24"/>
        </w:rPr>
        <w:tab/>
        <w:t>OUTUBRO/2015</w:t>
      </w:r>
    </w:p>
    <w:p w:rsidR="009E3510" w:rsidRPr="00F55342" w:rsidRDefault="009E3510" w:rsidP="00CA6FEB">
      <w:pPr>
        <w:spacing w:line="360" w:lineRule="auto"/>
        <w:rPr>
          <w:rFonts w:ascii="Arial" w:hAnsi="Arial" w:cs="Arial"/>
          <w:sz w:val="24"/>
          <w:szCs w:val="24"/>
        </w:rPr>
      </w:pPr>
    </w:p>
    <w:p w:rsidR="009E3510" w:rsidRPr="00F55342" w:rsidRDefault="009E3510" w:rsidP="00CA6FEB">
      <w:pPr>
        <w:spacing w:line="360" w:lineRule="auto"/>
        <w:rPr>
          <w:rFonts w:ascii="Arial" w:hAnsi="Arial" w:cs="Arial"/>
          <w:sz w:val="24"/>
          <w:szCs w:val="24"/>
        </w:rPr>
      </w:pPr>
    </w:p>
    <w:p w:rsidR="009E3510" w:rsidRPr="00F55342" w:rsidRDefault="009E3510" w:rsidP="00CA6FEB">
      <w:pPr>
        <w:spacing w:line="360" w:lineRule="auto"/>
        <w:rPr>
          <w:rFonts w:ascii="Arial" w:hAnsi="Arial" w:cs="Arial"/>
          <w:sz w:val="24"/>
          <w:szCs w:val="24"/>
        </w:rPr>
      </w:pPr>
    </w:p>
    <w:p w:rsidR="00916D96" w:rsidRPr="00F55342" w:rsidRDefault="009E3510" w:rsidP="00CA6FEB">
      <w:pPr>
        <w:spacing w:line="360" w:lineRule="auto"/>
        <w:ind w:left="360"/>
        <w:rPr>
          <w:rFonts w:ascii="Arial" w:hAnsi="Arial" w:cs="Arial"/>
          <w:b/>
          <w:sz w:val="32"/>
          <w:szCs w:val="32"/>
        </w:rPr>
      </w:pPr>
      <w:r w:rsidRPr="00F55342">
        <w:rPr>
          <w:rFonts w:ascii="Arial" w:hAnsi="Arial" w:cs="Arial"/>
          <w:b/>
          <w:sz w:val="32"/>
          <w:szCs w:val="32"/>
        </w:rPr>
        <w:t>NATU</w:t>
      </w:r>
      <w:r w:rsidR="00916D96" w:rsidRPr="00F55342">
        <w:rPr>
          <w:rFonts w:ascii="Arial" w:hAnsi="Arial" w:cs="Arial"/>
          <w:b/>
          <w:sz w:val="32"/>
          <w:szCs w:val="32"/>
        </w:rPr>
        <w:t>REZA JURIDICA</w:t>
      </w:r>
      <w:r w:rsidR="00EA551F" w:rsidRPr="00F55342">
        <w:rPr>
          <w:rFonts w:ascii="Arial" w:hAnsi="Arial" w:cs="Arial"/>
          <w:b/>
          <w:sz w:val="32"/>
          <w:szCs w:val="32"/>
        </w:rPr>
        <w:t xml:space="preserve"> DA INDENIZAÇÃO DE TRANSPORTE</w:t>
      </w:r>
    </w:p>
    <w:p w:rsidR="00916D96" w:rsidRPr="00F55342" w:rsidRDefault="00916D96" w:rsidP="00CA6FEB">
      <w:pPr>
        <w:spacing w:line="360" w:lineRule="auto"/>
        <w:rPr>
          <w:rFonts w:ascii="Arial" w:hAnsi="Arial" w:cs="Arial"/>
          <w:sz w:val="24"/>
          <w:szCs w:val="24"/>
        </w:rPr>
      </w:pPr>
    </w:p>
    <w:p w:rsidR="00916D96" w:rsidRPr="00F55342" w:rsidRDefault="00916D96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5342">
        <w:rPr>
          <w:rFonts w:ascii="Arial" w:hAnsi="Arial" w:cs="Arial"/>
          <w:sz w:val="24"/>
          <w:szCs w:val="24"/>
        </w:rPr>
        <w:t>A indenização de transporte encontra-se prevista no artigo 60, da lei 8112, de 11 de dezembro de 1990</w:t>
      </w:r>
      <w:r w:rsidR="0006445F" w:rsidRPr="00F55342">
        <w:rPr>
          <w:rFonts w:ascii="Arial" w:hAnsi="Arial" w:cs="Arial"/>
          <w:sz w:val="24"/>
          <w:szCs w:val="24"/>
        </w:rPr>
        <w:t>:</w:t>
      </w:r>
    </w:p>
    <w:p w:rsidR="009F57A3" w:rsidRPr="00F55342" w:rsidRDefault="009F57A3" w:rsidP="00CA6FEB">
      <w:pPr>
        <w:pStyle w:val="PargrafodaLista"/>
        <w:spacing w:line="360" w:lineRule="auto"/>
        <w:ind w:left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art60"/>
      <w:bookmarkEnd w:id="0"/>
    </w:p>
    <w:p w:rsidR="00916D96" w:rsidRPr="00F55342" w:rsidRDefault="00916D96" w:rsidP="004E3866">
      <w:pPr>
        <w:pStyle w:val="PargrafodaLista"/>
        <w:numPr>
          <w:ilvl w:val="0"/>
          <w:numId w:val="1"/>
        </w:numPr>
        <w:spacing w:line="360" w:lineRule="auto"/>
        <w:ind w:left="1134" w:hanging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Art. 60.  Conceder-se-á indenização de transporte ao servidor que realizar despesas com a utilização de meio próprio de locomoção para a execução de serviços externos, por força das atribuições próprias do cargo, conforme se dispuser em regulamento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F57A3" w:rsidRPr="00F55342" w:rsidRDefault="009F57A3" w:rsidP="00CA6FEB">
      <w:pPr>
        <w:pStyle w:val="PargrafodaLista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16D96" w:rsidRPr="00F55342" w:rsidRDefault="00916D96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Em sendo v</w:t>
      </w:r>
      <w:r w:rsidR="00F0764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erba destinada ao ressarcimento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despesas realizadas com utilização de veículo próprio para execução de serviços externos, fica evidente o caráter indenizatório da verba, no sentido de possibilitar ao servidor, o ressarcimento dos gastos </w:t>
      </w:r>
      <w:r w:rsidR="00F0764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realizados com estrutura própria, para a realização de serviços do interesse da administração pública.</w:t>
      </w:r>
    </w:p>
    <w:p w:rsidR="009F57A3" w:rsidRPr="00F55342" w:rsidRDefault="009F57A3" w:rsidP="00CA6FEB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B40A1" w:rsidRPr="00F55342" w:rsidRDefault="00CB40A1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administração pública utiliza-se indiretamente de um bem de propriedade de </w:t>
      </w:r>
      <w:r w:rsidR="0020437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terceiro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 para realizar serviços externos de seu interesse, retribuindo o proprietário do veículo, dos gastos decorrentes de tal uso.</w:t>
      </w:r>
    </w:p>
    <w:p w:rsidR="009F57A3" w:rsidRPr="00F55342" w:rsidRDefault="009F57A3" w:rsidP="00CA6FEB">
      <w:pPr>
        <w:pStyle w:val="PargrafodaLista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86746" w:rsidRPr="00F55342" w:rsidRDefault="008C15C1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Não há dúvidas que a indenização de transporte possibilita </w:t>
      </w:r>
      <w:r w:rsidR="00F0764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à administração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uma gestão mais </w:t>
      </w:r>
      <w:r w:rsidR="00D8674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eficiente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seu patrimônio</w:t>
      </w:r>
      <w:r w:rsidR="00CB40A1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D8674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pois ao mesmo tempo em que </w:t>
      </w:r>
      <w:r w:rsidR="003C46AB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se</w:t>
      </w:r>
      <w:r w:rsidR="00D8674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exime de realizar investimento</w:t>
      </w:r>
      <w:r w:rsidR="0020437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D8674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0437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D8674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aquisição de veículo </w:t>
      </w:r>
      <w:r w:rsidR="003C46AB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a realização de sua atividade fim</w:t>
      </w:r>
      <w:r w:rsidR="00D8674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 também elimina os custos decorrentes da conservação do bem em seu ambiente físico, ou seja, espaço para estacionamento</w:t>
      </w:r>
      <w:proofErr w:type="gramStart"/>
      <w:r w:rsidR="00D8674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 troca</w:t>
      </w:r>
      <w:proofErr w:type="gramEnd"/>
      <w:r w:rsidR="00D8674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peças, impostos, seguro, etc. </w:t>
      </w:r>
    </w:p>
    <w:p w:rsidR="009F57A3" w:rsidRPr="00F55342" w:rsidRDefault="009F57A3" w:rsidP="00CA6FEB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029F8" w:rsidRPr="00F55342" w:rsidRDefault="00D86746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Diante dos benefícios auferidos pela administração com a utilização deste expediente, nada mais justo que se </w:t>
      </w:r>
      <w:proofErr w:type="gramStart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restitua</w:t>
      </w:r>
      <w:proofErr w:type="gram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029F8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valores gastos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àquele que assumiu o ônus do cumprimento do dever funcional</w:t>
      </w:r>
      <w:r w:rsidR="005029F8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utilização de bem próprio</w:t>
      </w:r>
      <w:r w:rsidR="005029F8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F57A3" w:rsidRPr="00F55342" w:rsidRDefault="009F57A3" w:rsidP="00CA6FEB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86746" w:rsidRPr="00F55342" w:rsidRDefault="005029F8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Desnecessário mencionar que para existir paridade nesta conjunção de interesses, é indispensável que a compensação financeira seja absolutamente compatível com o gasto </w:t>
      </w:r>
      <w:r w:rsidR="0020437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efetivamente realizado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D8674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sob pena</w:t>
      </w:r>
      <w:proofErr w:type="gramEnd"/>
      <w:r w:rsidR="00D8674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haver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ruptura do equilíbrio da relação de trabalho e </w:t>
      </w:r>
      <w:r w:rsidR="00D8674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enriquecimento ilícito da administração em detrimento do servidor.  </w:t>
      </w:r>
    </w:p>
    <w:p w:rsidR="00D86746" w:rsidRPr="00F55342" w:rsidRDefault="00D86746" w:rsidP="00CA6FE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551F" w:rsidRPr="00F55342" w:rsidRDefault="00B86C83" w:rsidP="00CA6FEB">
      <w:pPr>
        <w:pStyle w:val="PargrafodaLista"/>
        <w:spacing w:line="360" w:lineRule="auto"/>
        <w:ind w:hanging="294"/>
        <w:jc w:val="both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F55342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ISONOMIA</w:t>
      </w:r>
    </w:p>
    <w:p w:rsidR="009F57A3" w:rsidRPr="00F55342" w:rsidRDefault="009F57A3" w:rsidP="00CA6FEB">
      <w:pPr>
        <w:pStyle w:val="PargrafodaLista"/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</w:p>
    <w:p w:rsidR="003C46AB" w:rsidRPr="00F55342" w:rsidRDefault="003C46AB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Em relação aos oficiais de Justiça vinculados ao Poder Judiciário da União,</w:t>
      </w:r>
      <w:proofErr w:type="gramStart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não existe isonomia na definição do valor a ser pago em cada órgão. Assim, os </w:t>
      </w:r>
      <w:r w:rsidR="0020437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Analistas Judiciários executantes de mandado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Justiça Federal, Militar, Trabalhista e Eleitoral possuem valores de </w:t>
      </w:r>
      <w:r w:rsidR="0020437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indenização de transporte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diferenciados, </w:t>
      </w:r>
      <w:r w:rsidR="0020437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entendimento dos Conselhos a que est</w:t>
      </w:r>
      <w:r w:rsidR="0020437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ejam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vinculados. </w:t>
      </w:r>
    </w:p>
    <w:p w:rsidR="009F57A3" w:rsidRPr="00F55342" w:rsidRDefault="009F57A3" w:rsidP="00CA6FEB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46AB" w:rsidRPr="00F55342" w:rsidRDefault="003C46AB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Como exemplo, </w:t>
      </w:r>
      <w:r w:rsidR="0020437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na Justiça Federal, a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Resolução CJF 358/2004 fixou o valor da indenização de transporte em R$ 1.344,97 (</w:t>
      </w:r>
      <w:proofErr w:type="gramStart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um mil</w:t>
      </w:r>
      <w:proofErr w:type="gram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trezentos e quarenta e quatro reais e noventa e sete centavos). Posteriormente o mesmo valor foi mantido pela Resolução CJF 4/2008. Até a presente data tal valor não foi modificado, embora, por várias vezes, haja sido </w:t>
      </w:r>
      <w:r w:rsidR="0006445F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pleiteada a recomposição das perdas inflacionárias no período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 </w:t>
      </w:r>
    </w:p>
    <w:p w:rsidR="009F57A3" w:rsidRPr="00F55342" w:rsidRDefault="009F57A3" w:rsidP="00CA6FEB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46AB" w:rsidRPr="00F55342" w:rsidRDefault="003C46AB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Já no âmbito da Justiça do Trabalho, o Conselho Superior da Justiça do Trabalho, editou o Ato 40/</w:t>
      </w:r>
      <w:proofErr w:type="gramStart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CSJT.</w:t>
      </w:r>
      <w:proofErr w:type="gram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GP.SG, de 2013, reajustando em 10% o valor a ser pago na Justiça do Trabalho de 1º e 2º graus a partir de 1º de março de 2013. Após esta data, o valor da indenização de transporte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passou </w:t>
      </w:r>
      <w:r w:rsidR="0006445F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 ser de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R$ 1.479,46 (</w:t>
      </w:r>
      <w:proofErr w:type="gramStart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um mil</w:t>
      </w:r>
      <w:proofErr w:type="gram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 quatrocentos e setenta e nove reais e quarenta e seis centavos).</w:t>
      </w:r>
    </w:p>
    <w:p w:rsidR="009F57A3" w:rsidRPr="00F55342" w:rsidRDefault="009F57A3" w:rsidP="00CA6FEB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46AB" w:rsidRPr="00F55342" w:rsidRDefault="003C46AB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9F57A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situação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acima exposta dá ensejo a uma distorção perversa. Dois servidores públicos federais, lotados na mesma localidade, que trabalham na mesma região, executando o mesmo tipo de serviço, que ingressaram por concurso público para a execução das mesmas funções, possuem retribuições indenizatórias diferentes.</w:t>
      </w:r>
    </w:p>
    <w:p w:rsidR="009F57A3" w:rsidRPr="00F55342" w:rsidRDefault="009F57A3" w:rsidP="00CA6FEB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46AB" w:rsidRPr="00F55342" w:rsidRDefault="003C46AB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Esta circunstância macula de forma implacável o princípio fundamental da isonomia, insculpido em nossa constituição e tido como um dos pilares do Estado Democrático de Direito. </w:t>
      </w:r>
      <w:r w:rsidRPr="00F55342">
        <w:rPr>
          <w:rFonts w:ascii="Arial" w:hAnsi="Arial" w:cs="Arial"/>
          <w:color w:val="000000"/>
          <w:sz w:val="24"/>
          <w:szCs w:val="24"/>
        </w:rPr>
        <w:t xml:space="preserve">A lei só pode tratar as pessoas de maneira diversa se a distinção entre elas justificar tal tratamento. Certamente não há justificativa plausível no simples fato de exercerem </w:t>
      </w:r>
      <w:r w:rsidR="00204379" w:rsidRPr="00F55342">
        <w:rPr>
          <w:rFonts w:ascii="Arial" w:hAnsi="Arial" w:cs="Arial"/>
          <w:color w:val="000000"/>
          <w:sz w:val="24"/>
          <w:szCs w:val="24"/>
        </w:rPr>
        <w:t>sua função</w:t>
      </w:r>
      <w:r w:rsidRPr="00F55342">
        <w:rPr>
          <w:rFonts w:ascii="Arial" w:hAnsi="Arial" w:cs="Arial"/>
          <w:color w:val="000000"/>
          <w:sz w:val="24"/>
          <w:szCs w:val="24"/>
        </w:rPr>
        <w:t xml:space="preserve"> em instância vinculada a tribunais diferentes.</w:t>
      </w:r>
    </w:p>
    <w:p w:rsidR="00204379" w:rsidRPr="00F55342" w:rsidRDefault="00204379" w:rsidP="00CA6FEB">
      <w:pPr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</w:p>
    <w:p w:rsidR="003C46AB" w:rsidRPr="00F55342" w:rsidRDefault="009F57A3" w:rsidP="00CA6FEB">
      <w:pPr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F55342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    </w:t>
      </w:r>
      <w:r w:rsidR="003C46AB" w:rsidRPr="00F55342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ILEGALIDADE NA ESTIPULAÇÃO DE VALOR FIXO</w:t>
      </w:r>
    </w:p>
    <w:p w:rsidR="00204379" w:rsidRPr="00F55342" w:rsidRDefault="00204379" w:rsidP="00CA6FEB">
      <w:pPr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</w:p>
    <w:p w:rsidR="003C46AB" w:rsidRPr="00F55342" w:rsidRDefault="003C46AB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 lei 9289/1996, determinou a forma como deveria ser fixado o “percentual” correspondente ao valor de indenização de transporte pago aos Oficiais de Justiça Avaliadores Federais:</w:t>
      </w:r>
    </w:p>
    <w:p w:rsidR="009F57A3" w:rsidRPr="00F55342" w:rsidRDefault="003C46AB" w:rsidP="004E3866">
      <w:pPr>
        <w:pStyle w:val="NormalWeb"/>
        <w:numPr>
          <w:ilvl w:val="0"/>
          <w:numId w:val="1"/>
        </w:numPr>
        <w:spacing w:line="360" w:lineRule="auto"/>
        <w:ind w:left="1134" w:hanging="708"/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F55342">
        <w:rPr>
          <w:rFonts w:ascii="Arial" w:hAnsi="Arial" w:cs="Arial"/>
          <w:i/>
          <w:color w:val="000000"/>
        </w:rPr>
        <w:t>Art. 15. A indenização de transporte, de que trata o</w:t>
      </w:r>
      <w:r w:rsidRPr="00F55342">
        <w:rPr>
          <w:rStyle w:val="apple-converted-space"/>
          <w:rFonts w:ascii="Arial" w:hAnsi="Arial" w:cs="Arial"/>
          <w:i/>
          <w:color w:val="000000"/>
        </w:rPr>
        <w:t> </w:t>
      </w:r>
      <w:hyperlink r:id="rId9" w:anchor="art60" w:history="1">
        <w:r w:rsidRPr="00F55342">
          <w:rPr>
            <w:rStyle w:val="Hyperlink"/>
            <w:rFonts w:ascii="Arial" w:hAnsi="Arial" w:cs="Arial"/>
            <w:i/>
          </w:rPr>
          <w:t xml:space="preserve">art. 60 da Lei n° 8.112, de </w:t>
        </w:r>
        <w:proofErr w:type="gramStart"/>
        <w:r w:rsidRPr="00F55342">
          <w:rPr>
            <w:rStyle w:val="Hyperlink"/>
            <w:rFonts w:ascii="Arial" w:hAnsi="Arial" w:cs="Arial"/>
            <w:i/>
          </w:rPr>
          <w:t>11 de dezembro de 1990</w:t>
        </w:r>
      </w:hyperlink>
      <w:r w:rsidRPr="00F55342">
        <w:rPr>
          <w:rFonts w:ascii="Arial" w:hAnsi="Arial" w:cs="Arial"/>
          <w:i/>
          <w:color w:val="000000"/>
        </w:rPr>
        <w:t>, destinada</w:t>
      </w:r>
      <w:proofErr w:type="gramEnd"/>
      <w:r w:rsidRPr="00F55342">
        <w:rPr>
          <w:rFonts w:ascii="Arial" w:hAnsi="Arial" w:cs="Arial"/>
          <w:i/>
          <w:color w:val="000000"/>
        </w:rPr>
        <w:t xml:space="preserve"> ao ressarcimento de despesas realizadas com a utilização do meio próprio de locomoção para a execução de serviços externos, será paga aos Oficiais de Justiça Avaliadores da Justiça Federal de primeiro e segundo graus, de acordo com critérios estabelecidos pelo Conselho da Justiça Federal, que fixará também o percentual correspondente.</w:t>
      </w:r>
    </w:p>
    <w:p w:rsidR="003C46AB" w:rsidRPr="00F55342" w:rsidRDefault="003C46AB" w:rsidP="00204379">
      <w:pPr>
        <w:pStyle w:val="NormalWeb"/>
        <w:spacing w:line="360" w:lineRule="auto"/>
        <w:ind w:left="1134"/>
        <w:jc w:val="both"/>
        <w:rPr>
          <w:rFonts w:ascii="Arial" w:hAnsi="Arial" w:cs="Arial"/>
          <w:i/>
          <w:color w:val="000000"/>
          <w:shd w:val="clear" w:color="auto" w:fill="FFFFFF"/>
        </w:rPr>
      </w:pPr>
      <w:bookmarkStart w:id="1" w:name="art15pp"/>
      <w:bookmarkEnd w:id="1"/>
      <w:r w:rsidRPr="00F55342">
        <w:rPr>
          <w:rFonts w:ascii="Arial" w:hAnsi="Arial" w:cs="Arial"/>
          <w:i/>
          <w:color w:val="000000"/>
        </w:rPr>
        <w:t xml:space="preserve">Parágrafo único. Para efeito do disposto neste artigo, consideram-se como serviço externo as atividades exercidas no cumprimento das </w:t>
      </w:r>
      <w:r w:rsidRPr="00F55342">
        <w:rPr>
          <w:rFonts w:ascii="Arial" w:hAnsi="Arial" w:cs="Arial"/>
          <w:i/>
          <w:color w:val="000000"/>
        </w:rPr>
        <w:lastRenderedPageBreak/>
        <w:t>diligências fora das dependências dos Tribunais Regionais Federais ou das Seções Judiciárias em que os Oficiais de Justiça estejam lotados.</w:t>
      </w:r>
    </w:p>
    <w:p w:rsidR="009F57A3" w:rsidRPr="00F55342" w:rsidRDefault="009F57A3" w:rsidP="00CA6FEB">
      <w:pPr>
        <w:pStyle w:val="NormalWeb"/>
        <w:spacing w:line="360" w:lineRule="auto"/>
        <w:ind w:left="1134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9F57A3" w:rsidRPr="00F55342" w:rsidRDefault="003C46AB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Conselho da Justiça Federal, em cumprimento ao artigo 15, </w:t>
      </w:r>
      <w:r w:rsidR="000F434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 intermédio da Resolução 358/2004,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fixou a indenização de transporte no valor de R$ 1.344,97 (</w:t>
      </w:r>
      <w:proofErr w:type="gramStart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um mil</w:t>
      </w:r>
      <w:proofErr w:type="gram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 trezentos e quarenta e quatro reais e noventa e sete centavos). Embora tenha cumprido sua atribuição legal, o fez de forma equivocada, vez que não</w:t>
      </w:r>
      <w:r w:rsidR="0006445F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definiu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6445F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Pr="00F5534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ercentual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correspondente </w:t>
      </w:r>
      <w:proofErr w:type="gramStart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gram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verba, conforme determinava</w:t>
      </w:r>
      <w:r w:rsidR="0006445F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norma, mas se limitou a determinar um valor fixo a ser pago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F57A3" w:rsidRPr="00F55342" w:rsidRDefault="009F57A3" w:rsidP="00CA6FEB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46AB" w:rsidRPr="00F55342" w:rsidRDefault="003C46AB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Importante ressaltar que tal resolução veio</w:t>
      </w:r>
      <w:r w:rsidR="000F434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sustar uma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sistemática de cálculo que anteriormente vinculava o valor da indenização de transporte a percentual sobre o vencimento básico do cargo de Analista </w:t>
      </w:r>
      <w:proofErr w:type="spellStart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Judiciàrio</w:t>
      </w:r>
      <w:proofErr w:type="spell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. A Resolução 216, de 22 de dezembro de 1999, assim dispunha:</w:t>
      </w:r>
    </w:p>
    <w:p w:rsidR="009F57A3" w:rsidRPr="00F55342" w:rsidRDefault="009F57A3" w:rsidP="00CA6FEB">
      <w:pPr>
        <w:pStyle w:val="PargrafodaLista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46AB" w:rsidRPr="00F55342" w:rsidRDefault="003C46AB" w:rsidP="004E3866">
      <w:pPr>
        <w:pStyle w:val="PargrafodaLista"/>
        <w:numPr>
          <w:ilvl w:val="0"/>
          <w:numId w:val="1"/>
        </w:numPr>
        <w:spacing w:line="360" w:lineRule="auto"/>
        <w:ind w:left="1134" w:hanging="708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Art. 1</w:t>
      </w:r>
      <w:r w:rsidR="00472726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º. </w:t>
      </w: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A indenização de transporte destina-se a ressarcir o ocupante do cargo de Analista Judiciário/Área Judiciária/Executante de Mandados das despesas que realizar em decorrência da utilização de meios de locomoção, não fornecidos pela Administração, para desincumbir-se do serviço e será </w:t>
      </w:r>
      <w:proofErr w:type="gramStart"/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calculada no percentual de 70%</w:t>
      </w:r>
      <w:proofErr w:type="gramEnd"/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(setenta por cento) sobre o vencimento básico da Classe "C", Padrão 35, do cargo de Analista Judiciário.</w:t>
      </w:r>
    </w:p>
    <w:p w:rsidR="00204379" w:rsidRPr="00F55342" w:rsidRDefault="00204379" w:rsidP="00204379">
      <w:pPr>
        <w:pStyle w:val="PargrafodaLista"/>
        <w:ind w:hanging="294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:rsidR="003C46AB" w:rsidRPr="00F55342" w:rsidRDefault="003C46AB" w:rsidP="00204379">
      <w:pPr>
        <w:spacing w:line="360" w:lineRule="auto"/>
        <w:ind w:left="1134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Parágrafo único. Considera-se serviço externo, para efeito desta Resolução, as atividades exercidas fora das dependências dos Tribunais Regionais Federais ou das Seções Judiciárias em que o servidor estiver lotado, no cumprimento de diligências para as quais tenha sido designado.</w:t>
      </w:r>
    </w:p>
    <w:p w:rsidR="003C46AB" w:rsidRPr="00F55342" w:rsidRDefault="003C46AB" w:rsidP="00CA6FE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46AB" w:rsidRPr="00F55342" w:rsidRDefault="003C46AB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Posteriormente, a Resolução 4/2008 manteve </w:t>
      </w:r>
      <w:r w:rsidR="00CA6FEB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o método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F434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utilizad</w:t>
      </w:r>
      <w:r w:rsidR="00CA6FEB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0F434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pela Resolução 358/2004, para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estipula</w:t>
      </w:r>
      <w:r w:rsidR="000F434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 indenização de transporte por valor fixo, contrariando novamente a previsão contida na lei 9289/96.</w:t>
      </w:r>
    </w:p>
    <w:p w:rsidR="009F57A3" w:rsidRPr="00F55342" w:rsidRDefault="009F57A3" w:rsidP="00CA6FEB">
      <w:pPr>
        <w:pStyle w:val="PargrafodaLista"/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46AB" w:rsidRPr="00F55342" w:rsidRDefault="003C46AB" w:rsidP="00CA6F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Esse método de cálculo tem trazido sérias distorções e </w:t>
      </w:r>
      <w:r w:rsidR="00367DD8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transtornos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financeir</w:t>
      </w:r>
      <w:r w:rsidR="00367DD8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s aos oficiais de justiça avaliadores federais, po</w:t>
      </w:r>
      <w:r w:rsidR="0006445F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sto que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valor da indenização de transporte se mantém fixo, enquanto os índices inflacionários, de março de 2004 a setembro de 2015, </w:t>
      </w:r>
      <w:r w:rsidR="0006445F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são da ordem de</w:t>
      </w:r>
      <w:proofErr w:type="gramStart"/>
      <w:r w:rsidR="0006445F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81,78% (IPC – FIPE)</w:t>
      </w:r>
      <w:r w:rsidR="0006445F" w:rsidRPr="00F55342">
        <w:rPr>
          <w:rStyle w:val="Refdenotaderodap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1"/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227DA1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reduzindo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forma </w:t>
      </w:r>
      <w:r w:rsidR="00227DA1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evidente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capacidade de ressarcimento dos gastos com utilização de veículo próprio e consequentemente,  o caráter indenizatório da verba. </w:t>
      </w:r>
      <w:r w:rsidR="00367DD8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Assim, os oficiais de justiça acabam complementando com seus salários os custos inerentes à utilização de veículo próprio para a realização das diligências. </w:t>
      </w:r>
    </w:p>
    <w:p w:rsidR="003C46AB" w:rsidRPr="00F55342" w:rsidRDefault="003C46AB" w:rsidP="00CA6FE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551F" w:rsidRPr="00F55342" w:rsidRDefault="009F57A3" w:rsidP="00CA6FEB">
      <w:pPr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F55342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    </w:t>
      </w:r>
      <w:r w:rsidR="00EA551F" w:rsidRPr="00F55342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AUSÊNCIA DE REAJUSTE</w:t>
      </w:r>
    </w:p>
    <w:p w:rsidR="009F57A3" w:rsidRPr="00F55342" w:rsidRDefault="009F57A3" w:rsidP="00CA6FEB">
      <w:pPr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</w:p>
    <w:p w:rsidR="00A602A6" w:rsidRPr="00F55342" w:rsidRDefault="000F4343" w:rsidP="000F706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Considerada a natureza indenizatória da rubrica, não é difícil constatar que, em tempos de inflação des</w:t>
      </w:r>
      <w:r w:rsidR="007170E8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enfreada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 o poder aquisitivo da verba indenizatória não se manteve.</w:t>
      </w:r>
      <w:r w:rsidR="00CA6FEB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8451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Durantes esses mais de dez anos sem a reposição da inflação, a </w:t>
      </w:r>
      <w:proofErr w:type="spellStart"/>
      <w:r w:rsidR="00B8451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Fenassojaf</w:t>
      </w:r>
      <w:proofErr w:type="spellEnd"/>
      <w:r w:rsidR="00B8451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requereu</w:t>
      </w:r>
      <w:r w:rsidR="00CA6FEB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A602A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várias ocasiões</w:t>
      </w:r>
      <w:r w:rsidR="004732C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B84519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reajuste da verba indenizatória no sentido de recompor seu poder de compra</w:t>
      </w:r>
      <w:r w:rsidR="00A602A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4732C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sem obter sucesso</w:t>
      </w:r>
      <w:r w:rsidR="00CA6FEB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A6FEB" w:rsidRPr="00F55342" w:rsidRDefault="00CA6FEB" w:rsidP="00CA6FEB">
      <w:pPr>
        <w:pStyle w:val="PargrafodaList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F4913" w:rsidRPr="00F55342" w:rsidRDefault="00F92E7B" w:rsidP="00F7631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Cumpre salientar que a indenização de transporte não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destinada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apenas 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ao ressarcimento d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despesas de combustível, como muitas vezes 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mencionado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decisões equivocadas do CJF. </w:t>
      </w:r>
    </w:p>
    <w:p w:rsidR="003F4913" w:rsidRPr="00F55342" w:rsidRDefault="003F4913" w:rsidP="003F4913">
      <w:pPr>
        <w:pStyle w:val="PargrafodaList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2E7B" w:rsidRPr="00F55342" w:rsidRDefault="00F92E7B" w:rsidP="00F7631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verba 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destina-se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 ressarcir todos os gastos decorrentes da utilização de um bem p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articular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uso do estado. 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Imperioso considerar, portanto, os g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astos de manutenção</w:t>
      </w:r>
      <w:r w:rsidR="00756135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veículo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tais como revisões,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trocas de óleo, pastilhas, pneus,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filtros, etc., bem como impostos</w:t>
      </w:r>
      <w:r w:rsidR="00F06D45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seguros</w:t>
      </w:r>
      <w:r w:rsidR="00F06D45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 estacionamento e lavagem</w:t>
      </w:r>
      <w:r w:rsidR="00756135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67DD8" w:rsidRPr="00F55342" w:rsidRDefault="00367DD8" w:rsidP="00367DD8">
      <w:pPr>
        <w:pStyle w:val="PargrafodaList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81721" w:rsidRPr="00F55342" w:rsidRDefault="00367DD8" w:rsidP="00F92E7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Também desprovida de razão a assertiva de que o veículo próprio não é requisito essencial para o exercício da função. É notório o aumento do fluxo de veículos nos grandes centros urbanos. Assim, cada vez mais, o tr</w:t>
      </w:r>
      <w:r w:rsidR="00881721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â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nsito flui com menos </w:t>
      </w:r>
      <w:r w:rsidR="00881721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agilidade. A não utilização de veículo próprio ensejaria necessidade de valer-se de transporte público ou táxi. A primeira hipótese não pode ser levada em conta, pois ampliaria sobremaneira o tempo de deslocamento, inviabilizando a prestação jurisdicional tempestiva. A segunda, por óbvio, ensejaria em incomensurável aumento de gastos, a ponto de tornar praticamente inexequível o cumprimento das diligências. </w:t>
      </w:r>
    </w:p>
    <w:p w:rsidR="00881721" w:rsidRPr="00F55342" w:rsidRDefault="00881721" w:rsidP="00881721">
      <w:pPr>
        <w:pStyle w:val="PargrafodaList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2E7B" w:rsidRPr="00F55342" w:rsidRDefault="00881721" w:rsidP="00881721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CA6FEB" w:rsidRPr="00F55342" w:rsidRDefault="00F92E7B" w:rsidP="00F7631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Durante </w:t>
      </w:r>
      <w:r w:rsidR="00756135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todo o expediente de trabalho do oficial de justiça, 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veículo est</w:t>
      </w:r>
      <w:r w:rsidR="004732C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á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sujeito aos riscos inerentes </w:t>
      </w:r>
      <w:r w:rsidR="004732C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sua exposição em via pública, tais como colisões, quebras e até mesmo roubo ou furto. Caso ocorram tais situações, 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 perda do bem refletirá n</w:t>
      </w:r>
      <w:r w:rsidR="004732C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ão apenas no âmbito profissional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oficial de justiça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756135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ficando este </w:t>
      </w:r>
      <w:r w:rsidR="004732C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também privado</w:t>
      </w:r>
      <w:r w:rsidR="00756135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utilizá-lo nas situações cotidianas de sua </w:t>
      </w:r>
      <w:r w:rsidR="004732C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vida</w:t>
      </w:r>
      <w:r w:rsidR="00756135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particular,</w:t>
      </w:r>
      <w:r w:rsidR="003F4913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pois o Estado não garante a reposição do veículo, ainda que o sinistro tenha ocorrido no exercício da função pública. </w:t>
      </w:r>
    </w:p>
    <w:p w:rsidR="004732C6" w:rsidRPr="00F55342" w:rsidRDefault="004732C6" w:rsidP="004732C6">
      <w:pPr>
        <w:pStyle w:val="PargrafodaList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2737A" w:rsidRPr="00F55342" w:rsidRDefault="004732C6" w:rsidP="0082737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 outro lado, o estado não </w:t>
      </w:r>
      <w:r w:rsidR="009E3510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tem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cumpr</w:t>
      </w:r>
      <w:r w:rsidR="009E3510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ido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seu papel de </w:t>
      </w:r>
      <w:r w:rsidR="009E3510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trazer </w:t>
      </w:r>
      <w:r w:rsidR="0082737A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equil</w:t>
      </w:r>
      <w:r w:rsidR="009E3510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íbrio</w:t>
      </w:r>
      <w:r w:rsidR="0082737A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relação de trabalho, remunerando de forma conveniente o servidor que se </w:t>
      </w:r>
      <w:proofErr w:type="gramStart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utiliza de</w:t>
      </w:r>
      <w:proofErr w:type="gram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bem próprio para a prestação jurisdicional. Como já visto anteriormente, a indenização de transporte tem o mesmo valor desde o ano de 2004. </w:t>
      </w:r>
      <w:proofErr w:type="gramStart"/>
      <w:r w:rsidR="007330F0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 título</w:t>
      </w:r>
      <w:proofErr w:type="gramEnd"/>
      <w:r w:rsidR="007330F0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exemplificativo, somente a gasolina, no período de maio de 2004 a outubro de 2015, sofreu reajustes da ordem de 63% </w:t>
      </w:r>
      <w:r w:rsidR="007330F0" w:rsidRPr="00F55342">
        <w:rPr>
          <w:rStyle w:val="Refdenotaderodap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2"/>
      </w:r>
      <w:r w:rsidR="007330F0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82737A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Nada diferente ocorreu com os preços de outros acessórios, taxas e serviços, indispensáveis à manutenção e segurança dos veículos e de </w:t>
      </w:r>
      <w:r w:rsidR="0082737A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seus ocupantes, tais como pneus, óleo, pastilhas, estacionamento, lavagem, seguros e impostos.</w:t>
      </w:r>
    </w:p>
    <w:p w:rsidR="0082737A" w:rsidRPr="00F55342" w:rsidRDefault="0082737A" w:rsidP="0082737A">
      <w:pPr>
        <w:pStyle w:val="PargrafodaList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2737A" w:rsidRPr="00F55342" w:rsidRDefault="0082737A" w:rsidP="0082737A">
      <w:pPr>
        <w:pStyle w:val="PargrafodaList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2737A" w:rsidRPr="00F55342" w:rsidRDefault="0082737A" w:rsidP="0082737A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Pr="00F55342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PROPOSTA</w:t>
      </w:r>
    </w:p>
    <w:p w:rsidR="0082737A" w:rsidRPr="00F55342" w:rsidRDefault="0082737A" w:rsidP="0082737A">
      <w:pPr>
        <w:pStyle w:val="PargrafodaList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2737A" w:rsidRPr="00F55342" w:rsidRDefault="0082737A" w:rsidP="0082737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Diante desse quadro com consequências </w:t>
      </w:r>
      <w:r w:rsidR="000032A1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danosas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9E3510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torna-se imperioso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se altere a forma de cálculo da indenização de transporte, no sentido de trazer maior segurança aos </w:t>
      </w:r>
      <w:r w:rsidR="00186B5C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analistas judiciários executantes de mandados,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86B5C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no que diz respeito ao ressarcimento efetivo dos custos que tem para a utilização de veículo próprio no cumprimento das diligências.</w:t>
      </w:r>
    </w:p>
    <w:p w:rsidR="00186B5C" w:rsidRPr="00F55342" w:rsidRDefault="00186B5C" w:rsidP="00186B5C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86B5C" w:rsidRPr="00F55342" w:rsidRDefault="00186B5C" w:rsidP="0082737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indenização de transporte, embora com natureza indenizatória, faz parte da remuneração do servidor de carreira ocupante do Cargo de Analista Judiciário – </w:t>
      </w:r>
      <w:r w:rsidR="004E3866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área judiciária cujas atribuições estejam relacionadas com a execução de mandados e atos processuais de natureza externa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 Não há razão para que sua regulamentação esteja na lei 9289/96, que dispõe especificamente sobre custas devidas à União, na Justiça Federal de primeiro e segundo graus. </w:t>
      </w:r>
    </w:p>
    <w:p w:rsidR="00186B5C" w:rsidRPr="00F55342" w:rsidRDefault="00186B5C" w:rsidP="00186B5C">
      <w:pPr>
        <w:pStyle w:val="PargrafodaList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86B5C" w:rsidRPr="00F55342" w:rsidRDefault="00186B5C" w:rsidP="0082737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 se tratar de verba remuneratória, de cunho </w:t>
      </w:r>
      <w:proofErr w:type="spellStart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ressarcitório</w:t>
      </w:r>
      <w:proofErr w:type="spell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deve ser inserida na Lei 11.416, de 15 de dezembro de 2006, Plano de Carreira dos Servidores do Poder Judiciário da União, no cap</w:t>
      </w:r>
      <w:r w:rsidR="00F411F2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í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tulo que </w:t>
      </w:r>
      <w:r w:rsidR="009318E8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versa sobre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remuneração dos Servidores, em equivalência formal à Lei 8112/90, que </w:t>
      </w:r>
      <w:r w:rsidR="009E3510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tem tratada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 indenização de transporte no capítulo referente à remuneração.</w:t>
      </w:r>
    </w:p>
    <w:p w:rsidR="00186B5C" w:rsidRPr="00F55342" w:rsidRDefault="00186B5C" w:rsidP="00186B5C">
      <w:pPr>
        <w:pStyle w:val="PargrafodaList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86B5C" w:rsidRPr="00F55342" w:rsidRDefault="009E3510" w:rsidP="00F411F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 indenização de transporte d</w:t>
      </w:r>
      <w:r w:rsidR="009318E8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eve ser ainda 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atrelada</w:t>
      </w:r>
      <w:r w:rsidR="009318E8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verba remuneratória do servidor, ou seja, vencimento básico da Classe C, padrão 13, do cargo de Analista Judiciário, com</w:t>
      </w:r>
      <w:r w:rsidR="00F411F2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estabelecimento de cláusula de re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posição</w:t>
      </w:r>
      <w:r w:rsidR="00F411F2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índices inflacionários no exercício, caso não tenha havido, no período, reajuste da verba à qual esteja vinculado</w:t>
      </w: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411F2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 </w:t>
      </w:r>
      <w:r w:rsidR="00F411F2"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recomposição salarial com aprovação de novo plano de cargos e salários. </w:t>
      </w:r>
    </w:p>
    <w:p w:rsidR="00F411F2" w:rsidRPr="00F55342" w:rsidRDefault="00F411F2" w:rsidP="00F411F2">
      <w:pPr>
        <w:pStyle w:val="PargrafodaList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411F2" w:rsidRPr="00F55342" w:rsidRDefault="00F411F2" w:rsidP="00F411F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Assim a sugestão é que se insira, no </w:t>
      </w:r>
      <w:proofErr w:type="spellStart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art</w:t>
      </w:r>
      <w:proofErr w:type="spell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16, da</w:t>
      </w:r>
      <w:proofErr w:type="gramStart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Lei 11.416, de 15 de dezembro de 2006, a seguinte redação:</w:t>
      </w:r>
    </w:p>
    <w:p w:rsidR="00F411F2" w:rsidRPr="00F55342" w:rsidRDefault="00F411F2" w:rsidP="00F411F2">
      <w:pPr>
        <w:pStyle w:val="PargrafodaList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411F2" w:rsidRPr="00F55342" w:rsidRDefault="00F411F2" w:rsidP="004E3866">
      <w:pPr>
        <w:pStyle w:val="PargrafodaLista"/>
        <w:numPr>
          <w:ilvl w:val="0"/>
          <w:numId w:val="1"/>
        </w:numPr>
        <w:spacing w:line="360" w:lineRule="auto"/>
        <w:ind w:left="1134" w:hanging="708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proofErr w:type="gramStart"/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“Art. 16</w:t>
      </w:r>
    </w:p>
    <w:p w:rsidR="00F411F2" w:rsidRPr="00F55342" w:rsidRDefault="00F411F2" w:rsidP="004E3866">
      <w:pPr>
        <w:pStyle w:val="PargrafodaLista"/>
        <w:ind w:left="1134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</w:t>
      </w:r>
      <w:proofErr w:type="gramEnd"/>
      <w:r w:rsidR="00A909A0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§1°....................................................................................................................</w:t>
      </w:r>
    </w:p>
    <w:p w:rsidR="00A909A0" w:rsidRPr="00F55342" w:rsidRDefault="00A909A0" w:rsidP="004E3866">
      <w:pPr>
        <w:pStyle w:val="PargrafodaLista"/>
        <w:ind w:left="1134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§2°</w:t>
      </w:r>
      <w:proofErr w:type="gramStart"/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.....................................................................................................................</w:t>
      </w:r>
      <w:proofErr w:type="gramEnd"/>
    </w:p>
    <w:p w:rsidR="004E3866" w:rsidRPr="00F55342" w:rsidRDefault="004E3866" w:rsidP="004E3866">
      <w:pPr>
        <w:pStyle w:val="PargrafodaLista"/>
        <w:ind w:left="1134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:rsidR="00A909A0" w:rsidRPr="00F55342" w:rsidRDefault="00A909A0" w:rsidP="004E3866">
      <w:pPr>
        <w:pStyle w:val="PargrafodaLista"/>
        <w:ind w:left="1134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“Art. 16 A. A indenização de</w:t>
      </w:r>
      <w:proofErr w:type="gramStart"/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transporte, de que trata o art. 60 da lei n° 8.112, de 11 de dezembro de</w:t>
      </w:r>
      <w:r w:rsidR="00F20C6E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1990, destinad</w:t>
      </w:r>
      <w:r w:rsidR="00F20C6E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</w:t>
      </w: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ao ressarcimento de despesas realizadas com a utilização de meio próprio de locomoção para a execução de serviços externos, será  paga </w:t>
      </w:r>
      <w:r w:rsidR="004E3866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exclusivamente aos ocupantes do cargo de Analista Judiciário referidos no § 1</w:t>
      </w:r>
      <w:r w:rsidR="004E3866" w:rsidRPr="00F55342"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  <w:vertAlign w:val="superscript"/>
        </w:rPr>
        <w:t>o</w:t>
      </w:r>
      <w:r w:rsidR="004E3866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 do art. 4</w:t>
      </w:r>
      <w:r w:rsidR="009E3510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="004E3866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desta Lei,</w:t>
      </w: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de acordo com percentual fixado e critérios estabelecidos em resolução, expedida pelo Conselho Nacional de Justiça, no prazo de até 45 (quarenta e cinco) dias após a vigência desta lei.</w:t>
      </w:r>
    </w:p>
    <w:p w:rsidR="00F20C6E" w:rsidRPr="00F55342" w:rsidRDefault="00F20C6E" w:rsidP="004E3866">
      <w:pPr>
        <w:pStyle w:val="PargrafodaLista"/>
        <w:ind w:left="1134" w:hanging="708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:rsidR="00F20C6E" w:rsidRPr="00F55342" w:rsidRDefault="00A909A0" w:rsidP="004E3866">
      <w:pPr>
        <w:pStyle w:val="PargrafodaLista"/>
        <w:ind w:left="1134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§1°</w:t>
      </w:r>
      <w:r w:rsidR="004E3866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</w:t>
      </w: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O valor da indenização de transporte resultará da incidência de percentual não inferior a 3</w:t>
      </w:r>
      <w:r w:rsidR="006C3D2B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5</w:t>
      </w: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% (trinta</w:t>
      </w:r>
      <w:r w:rsidR="006C3D2B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e cinco</w:t>
      </w: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por cento) sobre o vencimento básico da classe “C”, Padrão 13, do cargo de A</w:t>
      </w:r>
      <w:r w:rsidR="00F20C6E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nalista Judiciário, na data de início da vigência desta lei, e sofrerá reajuste de acordo com o índice inflacionário do exercício, caso não haja, no período,</w:t>
      </w:r>
      <w:proofErr w:type="gramStart"/>
      <w:r w:rsidR="00F20C6E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="00F20C6E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aumento da remuneração à qual esteja vinculado. </w:t>
      </w:r>
    </w:p>
    <w:p w:rsidR="00F20C6E" w:rsidRPr="00F55342" w:rsidRDefault="00F20C6E" w:rsidP="004E3866">
      <w:pPr>
        <w:pStyle w:val="PargrafodaLista"/>
        <w:ind w:left="1134" w:hanging="708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:rsidR="00A909A0" w:rsidRPr="00F55342" w:rsidRDefault="00F20C6E" w:rsidP="004E3866">
      <w:pPr>
        <w:pStyle w:val="PargrafodaLista"/>
        <w:ind w:left="1134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§2°</w:t>
      </w:r>
      <w:proofErr w:type="gramStart"/>
      <w:r w:rsidR="004E3866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</w:t>
      </w:r>
      <w:r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Para efeito do disposto neste artigo, consideram-se como serviço externo as atividades exercidas no cumprimento das diligências fora das dependências dos Tribunais, das Seções Judiciárias ou Subseções em que os Oficiais de Justiça estejam lotados</w:t>
      </w:r>
      <w:r w:rsidR="004E3866" w:rsidRPr="00F5534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.”</w:t>
      </w:r>
      <w:proofErr w:type="gramEnd"/>
    </w:p>
    <w:p w:rsidR="001712BD" w:rsidRDefault="001712BD" w:rsidP="001712BD">
      <w:pPr>
        <w:ind w:left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Dessa maneira será efetivamente atendida a natureza jurídica para a qual o instituto da indenização de transporte foi criado, subsumindo-se,</w:t>
      </w:r>
      <w:proofErr w:type="gramStart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Pr="00F55342">
        <w:rPr>
          <w:rFonts w:ascii="Arial" w:hAnsi="Arial" w:cs="Arial"/>
          <w:color w:val="000000"/>
          <w:sz w:val="24"/>
          <w:szCs w:val="24"/>
          <w:shd w:val="clear" w:color="auto" w:fill="FFFFFF"/>
        </w:rPr>
        <w:t>de forma harmoniosa e equitativa, a uma relação de trabalho pautada em critérios de equilíbrio financeiro, confiança mútua e segurança jurídica.</w:t>
      </w:r>
    </w:p>
    <w:p w:rsidR="00F55342" w:rsidRDefault="00F55342" w:rsidP="001712BD">
      <w:pPr>
        <w:ind w:left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55342" w:rsidRPr="00F55342" w:rsidRDefault="00F55342" w:rsidP="00F55342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Proponentes</w:t>
      </w:r>
      <w:r w:rsidRPr="00F5534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: (D) Delegado (O) Observador 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PR - Gláucio Luiz da Silva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2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PR – Fernando Luiz Tibério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PR –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Gleise</w:t>
      </w:r>
      <w:proofErr w:type="spell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Karling</w:t>
      </w:r>
      <w:proofErr w:type="spell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PR – Gustavo Silveira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PR -  Marília Sara Portela Oliveira Machado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6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PR –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Mariúcha</w:t>
      </w:r>
      <w:proofErr w:type="spell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 Lourenço Santos de Souza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7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PR – Nanci de Fátima Cardoso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PR – Rita de Cássia dos </w:t>
      </w:r>
      <w:proofErr w:type="gram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Santos Miranda</w:t>
      </w:r>
      <w:proofErr w:type="gram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PR – </w:t>
      </w:r>
      <w:proofErr w:type="spellStart"/>
      <w:r w:rsidRPr="00F553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Andrhei</w:t>
      </w:r>
      <w:proofErr w:type="spellEnd"/>
      <w:r w:rsidRPr="00F553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Castilho Simone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gram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>O)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PR – </w:t>
      </w:r>
      <w:r w:rsidRPr="00F553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Nélio Roberto Westphalen 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gram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>O)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PR – </w:t>
      </w:r>
      <w:r w:rsidRPr="00F553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Paulo Cezar Silva dos Santos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gram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>O)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PR – </w:t>
      </w:r>
      <w:r w:rsidRPr="00F553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Vinícius Paes Landim da Silva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gram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>O)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13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AM -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Eusa</w:t>
      </w:r>
      <w:proofErr w:type="spell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 Maria de Oliveira Braga Fernandes  </w:t>
      </w:r>
      <w:bookmarkStart w:id="2" w:name="_GoBack"/>
      <w:bookmarkEnd w:id="2"/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AM – Janete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Elane</w:t>
      </w:r>
      <w:proofErr w:type="spell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 Sena Belchior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CE –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Alzir</w:t>
      </w:r>
      <w:proofErr w:type="spell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Penaforte</w:t>
      </w:r>
      <w:proofErr w:type="spell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 Brito Filho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16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CE –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Gileno</w:t>
      </w:r>
      <w:proofErr w:type="spell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 Melo Saboia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DF – Cristina Dorneles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DF – Daniela da Silva Pontual Machado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19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DF – Fernando Freitas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DF – Gerardo Alves Lima Filho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DF – Maria da Conceição Mendes Oliveira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22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DF – Manuel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Beneval</w:t>
      </w:r>
      <w:proofErr w:type="spell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 Adelino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23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MG – Jordana Marcia Neves Pereira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24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MG – Luciana Tavares de Paula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25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MG – Márcia Valéria Ribas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Pissumo</w:t>
      </w:r>
      <w:proofErr w:type="spell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26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MG – Paula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Drumond</w:t>
      </w:r>
      <w:proofErr w:type="spell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Meniconi</w:t>
      </w:r>
      <w:proofErr w:type="spellEnd"/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27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PE -   Bruno Jorge Mota Cavalcanti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28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PI -    Carolina Cavalcante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Lipinski</w:t>
      </w:r>
      <w:proofErr w:type="spellEnd"/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29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PI -     Maria Aparecida de Alencar </w:t>
      </w:r>
      <w:proofErr w:type="spellStart"/>
      <w:r w:rsidRPr="00F55342">
        <w:rPr>
          <w:rFonts w:ascii="Arial" w:eastAsia="Times New Roman" w:hAnsi="Arial" w:cs="Arial"/>
          <w:sz w:val="24"/>
          <w:szCs w:val="24"/>
          <w:lang w:eastAsia="pt-BR"/>
        </w:rPr>
        <w:t>Clerton</w:t>
      </w:r>
      <w:proofErr w:type="spellEnd"/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30    </w:t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RO -   Magna Regina Alves Pereira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>31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SC -    Lúcia Fontes do Amaral Pereira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F55342">
      <w:pPr>
        <w:tabs>
          <w:tab w:val="left" w:pos="642"/>
          <w:tab w:val="left" w:pos="5661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32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 xml:space="preserve">SP -    Ivo Oliveira Farias </w:t>
      </w:r>
      <w:r w:rsidRPr="00F553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55342">
        <w:rPr>
          <w:rFonts w:ascii="Arial" w:eastAsia="Times New Roman" w:hAnsi="Arial" w:cs="Arial"/>
          <w:sz w:val="24"/>
          <w:szCs w:val="24"/>
          <w:lang w:eastAsia="pt-BR"/>
        </w:rPr>
        <w:t>(D)</w:t>
      </w:r>
    </w:p>
    <w:p w:rsidR="00F55342" w:rsidRPr="00F55342" w:rsidRDefault="00F55342" w:rsidP="001712BD">
      <w:pPr>
        <w:ind w:left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F55342" w:rsidRPr="00F553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270" w:rsidRDefault="00DE0270" w:rsidP="0006445F">
      <w:pPr>
        <w:spacing w:after="0" w:line="240" w:lineRule="auto"/>
      </w:pPr>
      <w:r>
        <w:separator/>
      </w:r>
    </w:p>
  </w:endnote>
  <w:endnote w:type="continuationSeparator" w:id="0">
    <w:p w:rsidR="00DE0270" w:rsidRDefault="00DE0270" w:rsidP="0006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270" w:rsidRDefault="00DE0270" w:rsidP="0006445F">
      <w:pPr>
        <w:spacing w:after="0" w:line="240" w:lineRule="auto"/>
      </w:pPr>
      <w:r>
        <w:separator/>
      </w:r>
    </w:p>
  </w:footnote>
  <w:footnote w:type="continuationSeparator" w:id="0">
    <w:p w:rsidR="00DE0270" w:rsidRDefault="00DE0270" w:rsidP="0006445F">
      <w:pPr>
        <w:spacing w:after="0" w:line="240" w:lineRule="auto"/>
      </w:pPr>
      <w:r>
        <w:continuationSeparator/>
      </w:r>
    </w:p>
  </w:footnote>
  <w:footnote w:id="1">
    <w:p w:rsidR="0006445F" w:rsidRDefault="0006445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6445F">
        <w:t>http://economia.uol.com.br/financas-pessoais/calculadoras/2013/01/01/indices-de-inflacao.htm</w:t>
      </w:r>
    </w:p>
  </w:footnote>
  <w:footnote w:id="2">
    <w:p w:rsidR="007330F0" w:rsidRDefault="007330F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330F0">
        <w:t>http://www.anp.gov.br/?</w:t>
      </w:r>
      <w:proofErr w:type="gramStart"/>
      <w:r w:rsidRPr="007330F0">
        <w:t>pg</w:t>
      </w:r>
      <w:proofErr w:type="gramEnd"/>
      <w:r w:rsidRPr="007330F0">
        <w:t>=74311&amp;m=&amp;t1=&amp;t2=&amp;t3=&amp;t4=&amp;ar=&amp;ps=&amp;1444223304389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84147"/>
    <w:multiLevelType w:val="hybridMultilevel"/>
    <w:tmpl w:val="EC68FE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96"/>
    <w:rsid w:val="000032A1"/>
    <w:rsid w:val="0006445F"/>
    <w:rsid w:val="000F4343"/>
    <w:rsid w:val="00103218"/>
    <w:rsid w:val="001712BD"/>
    <w:rsid w:val="00186B5C"/>
    <w:rsid w:val="001A69CE"/>
    <w:rsid w:val="00204379"/>
    <w:rsid w:val="00227DA1"/>
    <w:rsid w:val="00367DD8"/>
    <w:rsid w:val="003C46AB"/>
    <w:rsid w:val="003F4913"/>
    <w:rsid w:val="00472726"/>
    <w:rsid w:val="004732C6"/>
    <w:rsid w:val="004E3866"/>
    <w:rsid w:val="005029F8"/>
    <w:rsid w:val="006358FD"/>
    <w:rsid w:val="006C3D2B"/>
    <w:rsid w:val="007170E8"/>
    <w:rsid w:val="007330F0"/>
    <w:rsid w:val="00756135"/>
    <w:rsid w:val="00793BE9"/>
    <w:rsid w:val="0082737A"/>
    <w:rsid w:val="0086094F"/>
    <w:rsid w:val="00881721"/>
    <w:rsid w:val="008C15C1"/>
    <w:rsid w:val="00916D96"/>
    <w:rsid w:val="009318E8"/>
    <w:rsid w:val="009E3510"/>
    <w:rsid w:val="009F57A3"/>
    <w:rsid w:val="00A45953"/>
    <w:rsid w:val="00A602A6"/>
    <w:rsid w:val="00A909A0"/>
    <w:rsid w:val="00B84519"/>
    <w:rsid w:val="00B86C83"/>
    <w:rsid w:val="00CA6FEB"/>
    <w:rsid w:val="00CB40A1"/>
    <w:rsid w:val="00D86746"/>
    <w:rsid w:val="00DE0270"/>
    <w:rsid w:val="00EA551F"/>
    <w:rsid w:val="00F06D45"/>
    <w:rsid w:val="00F07649"/>
    <w:rsid w:val="00F20C6E"/>
    <w:rsid w:val="00F411F2"/>
    <w:rsid w:val="00F55342"/>
    <w:rsid w:val="00F87448"/>
    <w:rsid w:val="00F9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16D96"/>
  </w:style>
  <w:style w:type="paragraph" w:styleId="NormalWeb">
    <w:name w:val="Normal (Web)"/>
    <w:basedOn w:val="Normal"/>
    <w:uiPriority w:val="99"/>
    <w:unhideWhenUsed/>
    <w:rsid w:val="003C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C46AB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6445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6445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6445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44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445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445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F57A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909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09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09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09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09A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9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3510"/>
  </w:style>
  <w:style w:type="paragraph" w:styleId="Rodap">
    <w:name w:val="footer"/>
    <w:basedOn w:val="Normal"/>
    <w:link w:val="RodapChar"/>
    <w:uiPriority w:val="99"/>
    <w:unhideWhenUsed/>
    <w:rsid w:val="009E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16D96"/>
  </w:style>
  <w:style w:type="paragraph" w:styleId="NormalWeb">
    <w:name w:val="Normal (Web)"/>
    <w:basedOn w:val="Normal"/>
    <w:uiPriority w:val="99"/>
    <w:unhideWhenUsed/>
    <w:rsid w:val="003C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C46AB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6445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6445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6445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44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445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445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F57A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909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09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09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09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09A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9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3510"/>
  </w:style>
  <w:style w:type="paragraph" w:styleId="Rodap">
    <w:name w:val="footer"/>
    <w:basedOn w:val="Normal"/>
    <w:link w:val="RodapChar"/>
    <w:uiPriority w:val="99"/>
    <w:unhideWhenUsed/>
    <w:rsid w:val="009E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6924">
              <w:marLeft w:val="720"/>
              <w:marRight w:val="-8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leis/L8112cons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A109-61A3-4285-9909-922745A6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2326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Imprensa Fenajufe</cp:lastModifiedBy>
  <cp:revision>2</cp:revision>
  <dcterms:created xsi:type="dcterms:W3CDTF">2016-03-29T22:09:00Z</dcterms:created>
  <dcterms:modified xsi:type="dcterms:W3CDTF">2016-03-29T22:09:00Z</dcterms:modified>
</cp:coreProperties>
</file>