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3D" w:rsidRDefault="00D05D81">
      <w:pPr>
        <w:pStyle w:val="Padro"/>
        <w:spacing w:line="100" w:lineRule="atLeast"/>
        <w:jc w:val="center"/>
      </w:pPr>
      <w:bookmarkStart w:id="0" w:name="_GoBack"/>
      <w:bookmarkEnd w:id="0"/>
      <w:r>
        <w:rPr>
          <w:rFonts w:eastAsia="Times New Roman"/>
          <w:b/>
          <w:sz w:val="40"/>
          <w:szCs w:val="40"/>
        </w:rPr>
        <w:t>NEPOTISMO NO MPU</w:t>
      </w:r>
    </w:p>
    <w:p w:rsidR="0027173D" w:rsidRDefault="0027173D">
      <w:pPr>
        <w:pStyle w:val="Padro"/>
        <w:spacing w:line="100" w:lineRule="atLeast"/>
        <w:jc w:val="center"/>
      </w:pPr>
    </w:p>
    <w:p w:rsidR="0027173D" w:rsidRDefault="00D05D81">
      <w:pPr>
        <w:pStyle w:val="Padro"/>
        <w:spacing w:line="100" w:lineRule="atLeast"/>
      </w:pPr>
      <w:r>
        <w:rPr>
          <w:rFonts w:eastAsia="Georgia"/>
          <w:b/>
          <w:sz w:val="32"/>
          <w:szCs w:val="32"/>
        </w:rPr>
        <w:t>Definição de Nepotismo</w:t>
      </w:r>
    </w:p>
    <w:p w:rsidR="0027173D" w:rsidRDefault="00D05D81">
      <w:pPr>
        <w:pStyle w:val="Padro"/>
        <w:spacing w:line="100" w:lineRule="atLeast"/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ab/>
      </w:r>
      <w:r>
        <w:rPr>
          <w:rFonts w:eastAsia="Georgia"/>
          <w:sz w:val="24"/>
          <w:szCs w:val="24"/>
        </w:rPr>
        <w:t>Excessiva influência que os sobrinhos e outros parentes dos papas exerceram na administração eclesiástica.</w:t>
      </w:r>
    </w:p>
    <w:p w:rsidR="0027173D" w:rsidRDefault="0027173D">
      <w:pPr>
        <w:pStyle w:val="Padro"/>
        <w:spacing w:line="100" w:lineRule="atLeast"/>
      </w:pPr>
    </w:p>
    <w:p w:rsidR="0027173D" w:rsidRDefault="00D05D81">
      <w:pPr>
        <w:pStyle w:val="Padro"/>
        <w:tabs>
          <w:tab w:val="left" w:pos="0"/>
          <w:tab w:val="left" w:pos="30"/>
          <w:tab w:val="left" w:pos="315"/>
        </w:tabs>
        <w:spacing w:line="100" w:lineRule="atLeast"/>
        <w:ind w:firstLine="15"/>
        <w:jc w:val="both"/>
      </w:pPr>
      <w:r>
        <w:rPr>
          <w:rFonts w:eastAsia="Times New Roman"/>
          <w:b/>
          <w:sz w:val="32"/>
          <w:szCs w:val="32"/>
        </w:rPr>
        <w:t>Criação de cargos comissionados</w:t>
      </w:r>
    </w:p>
    <w:p w:rsidR="0027173D" w:rsidRDefault="00D05D81">
      <w:pPr>
        <w:pStyle w:val="Padro"/>
        <w:numPr>
          <w:ilvl w:val="0"/>
          <w:numId w:val="5"/>
        </w:numPr>
        <w:tabs>
          <w:tab w:val="left" w:pos="0"/>
          <w:tab w:val="left" w:pos="30"/>
          <w:tab w:val="left" w:pos="720"/>
        </w:tabs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 Substitutivo ao PL 7919/2014 do Ministério Público da União criou 1.400 cargos comissionados CC-04, cada uma perfazendo o valor de R$ 9.216,74 (nove mil, duzentos e dezesseis reais e setenta e quatro centavos) e transformou outras centenas de CC-02 em CC-</w:t>
      </w:r>
      <w:r>
        <w:rPr>
          <w:rFonts w:eastAsia="Times New Roman"/>
          <w:sz w:val="24"/>
          <w:szCs w:val="24"/>
        </w:rPr>
        <w:t>04, num total de, aproximadamente, 3.041 cargos comissionados (CC-04).</w:t>
      </w:r>
    </w:p>
    <w:p w:rsidR="0027173D" w:rsidRDefault="00D05D81">
      <w:pPr>
        <w:pStyle w:val="Padro"/>
        <w:numPr>
          <w:ilvl w:val="0"/>
          <w:numId w:val="5"/>
        </w:numPr>
        <w:tabs>
          <w:tab w:val="left" w:pos="0"/>
          <w:tab w:val="left" w:pos="30"/>
          <w:tab w:val="left" w:pos="720"/>
        </w:tabs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Mas,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quais seriam as reais intenções do Procurador-Geral da República quando se aproveita um Projeto de lei de remuneração dos servidores do MPU – em pleno período de contingenciamento </w:t>
      </w:r>
      <w:r>
        <w:rPr>
          <w:rFonts w:eastAsia="Times New Roman"/>
          <w:sz w:val="24"/>
          <w:szCs w:val="24"/>
        </w:rPr>
        <w:t>- para criar 3.041 cargos comissionados (CC-04)?</w:t>
      </w:r>
    </w:p>
    <w:p w:rsidR="0027173D" w:rsidRDefault="0027173D">
      <w:pPr>
        <w:pStyle w:val="Padro"/>
        <w:tabs>
          <w:tab w:val="left" w:pos="0"/>
          <w:tab w:val="left" w:pos="30"/>
        </w:tabs>
        <w:spacing w:line="100" w:lineRule="atLeast"/>
        <w:jc w:val="both"/>
      </w:pPr>
    </w:p>
    <w:p w:rsidR="0027173D" w:rsidRDefault="00D05D81">
      <w:pPr>
        <w:pStyle w:val="Padro"/>
        <w:tabs>
          <w:tab w:val="clear" w:pos="720"/>
          <w:tab w:val="left" w:pos="75"/>
          <w:tab w:val="left" w:pos="105"/>
          <w:tab w:val="left" w:pos="735"/>
          <w:tab w:val="left" w:pos="750"/>
          <w:tab w:val="left" w:pos="765"/>
          <w:tab w:val="left" w:pos="780"/>
          <w:tab w:val="left" w:pos="795"/>
        </w:tabs>
        <w:spacing w:line="100" w:lineRule="atLeast"/>
        <w:ind w:left="15"/>
        <w:jc w:val="both"/>
      </w:pPr>
      <w:r>
        <w:rPr>
          <w:rFonts w:eastAsia="Times New Roman"/>
          <w:b/>
          <w:sz w:val="32"/>
          <w:szCs w:val="32"/>
        </w:rPr>
        <w:t>Histórico</w:t>
      </w:r>
    </w:p>
    <w:p w:rsidR="0027173D" w:rsidRDefault="00D05D81">
      <w:pPr>
        <w:pStyle w:val="Padro"/>
        <w:numPr>
          <w:ilvl w:val="0"/>
          <w:numId w:val="5"/>
        </w:numPr>
        <w:tabs>
          <w:tab w:val="left" w:pos="0"/>
          <w:tab w:val="left" w:pos="30"/>
          <w:tab w:val="left" w:pos="720"/>
        </w:tabs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O nepotismo não é um fenômeno novo na História da República. O Brasil tem um histórico repleto de casos de Nepotismo. O primeiro registro que se tem de tal prática data de seu descobrimento, quand</w:t>
      </w:r>
      <w:r>
        <w:rPr>
          <w:rFonts w:eastAsia="Times New Roman"/>
          <w:sz w:val="24"/>
          <w:szCs w:val="24"/>
        </w:rPr>
        <w:t>o Pero Vaz de Caminha escreveu ao rei de Portugal pedindo um cargo para o seu genro. De lá para cá, nossos modelos de Estado favoreceram ao Nepotismo na administração colonial e na imperial. Foi em função também da Carta de Caminha que Nepotismo ganhou uma</w:t>
      </w:r>
      <w:r>
        <w:rPr>
          <w:rFonts w:eastAsia="Times New Roman"/>
          <w:sz w:val="24"/>
          <w:szCs w:val="24"/>
        </w:rPr>
        <w:t xml:space="preserve"> designação popular no Brasil. Como epístola é sinônimo de carta, a variação pistolão passou a fazer parte da cultura popular </w:t>
      </w:r>
      <w:proofErr w:type="gramStart"/>
      <w:r>
        <w:rPr>
          <w:rFonts w:eastAsia="Times New Roman"/>
          <w:sz w:val="24"/>
          <w:szCs w:val="24"/>
        </w:rPr>
        <w:t>para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representar</w:t>
      </w:r>
      <w:proofErr w:type="gramEnd"/>
      <w:r>
        <w:rPr>
          <w:rFonts w:eastAsia="Times New Roman"/>
          <w:sz w:val="24"/>
          <w:szCs w:val="24"/>
        </w:rPr>
        <w:t xml:space="preserve"> esses privilégios.</w:t>
      </w:r>
    </w:p>
    <w:p w:rsidR="0027173D" w:rsidRDefault="0027173D">
      <w:pPr>
        <w:pStyle w:val="Padro"/>
        <w:tabs>
          <w:tab w:val="left" w:pos="0"/>
          <w:tab w:val="left" w:pos="30"/>
        </w:tabs>
        <w:spacing w:line="100" w:lineRule="atLeast"/>
        <w:jc w:val="both"/>
      </w:pPr>
    </w:p>
    <w:p w:rsidR="0027173D" w:rsidRDefault="00D05D81">
      <w:pPr>
        <w:pStyle w:val="Padro"/>
        <w:tabs>
          <w:tab w:val="clear" w:pos="720"/>
          <w:tab w:val="left" w:pos="75"/>
          <w:tab w:val="left" w:pos="105"/>
          <w:tab w:val="left" w:pos="735"/>
          <w:tab w:val="left" w:pos="750"/>
          <w:tab w:val="left" w:pos="765"/>
          <w:tab w:val="left" w:pos="780"/>
          <w:tab w:val="left" w:pos="795"/>
        </w:tabs>
        <w:spacing w:line="100" w:lineRule="atLeast"/>
        <w:ind w:left="15"/>
        <w:jc w:val="both"/>
      </w:pPr>
      <w:r>
        <w:rPr>
          <w:rFonts w:eastAsia="Times New Roman"/>
          <w:b/>
          <w:bCs/>
          <w:sz w:val="32"/>
          <w:szCs w:val="32"/>
        </w:rPr>
        <w:t>Ilegal e imoral (</w:t>
      </w:r>
      <w:r>
        <w:rPr>
          <w:rFonts w:eastAsia="Times New Roman"/>
          <w:sz w:val="32"/>
          <w:szCs w:val="32"/>
        </w:rPr>
        <w:t>A</w:t>
      </w:r>
      <w:proofErr w:type="gramStart"/>
      <w:r>
        <w:rPr>
          <w:rFonts w:eastAsia="Times New Roman"/>
          <w:sz w:val="32"/>
          <w:szCs w:val="32"/>
        </w:rPr>
        <w:t xml:space="preserve">  </w:t>
      </w:r>
      <w:proofErr w:type="gramEnd"/>
      <w:r>
        <w:rPr>
          <w:rFonts w:eastAsia="Times New Roman"/>
          <w:sz w:val="32"/>
          <w:szCs w:val="32"/>
        </w:rPr>
        <w:t>proibição do nepotismo na Administração Pública)</w:t>
      </w:r>
    </w:p>
    <w:p w:rsidR="0027173D" w:rsidRDefault="00D05D81">
      <w:pPr>
        <w:pStyle w:val="Padro"/>
        <w:numPr>
          <w:ilvl w:val="0"/>
          <w:numId w:val="5"/>
        </w:numPr>
        <w:tabs>
          <w:tab w:val="left" w:pos="0"/>
          <w:tab w:val="left" w:pos="30"/>
          <w:tab w:val="left" w:pos="720"/>
        </w:tabs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A nomeação de parentes p</w:t>
      </w:r>
      <w:r>
        <w:rPr>
          <w:rFonts w:eastAsia="Times New Roman"/>
          <w:sz w:val="24"/>
          <w:szCs w:val="24"/>
        </w:rPr>
        <w:t>ara ocupar cargos na Administração Pública sempre esteve presente na política nacional. Com a promulgação da Constituição Federal de 1988, esta conduta revela-se incompatível com o ordenamento jurídico pátrio, pois, através dos princípios da impessoalidade</w:t>
      </w:r>
      <w:r>
        <w:rPr>
          <w:rFonts w:eastAsia="Times New Roman"/>
          <w:sz w:val="24"/>
          <w:szCs w:val="24"/>
        </w:rPr>
        <w:t>, moralidade, eficiência e isonomia, evitam que o funcionalismo público seja tomado por aqueles que possuem parentesco com o governante, em detrimento de pessoas com melhor capacidade técnica para o desempenho das atividades.</w:t>
      </w:r>
    </w:p>
    <w:p w:rsidR="0027173D" w:rsidRDefault="00D05D81">
      <w:pPr>
        <w:pStyle w:val="Padro"/>
        <w:numPr>
          <w:ilvl w:val="0"/>
          <w:numId w:val="5"/>
        </w:numPr>
        <w:tabs>
          <w:tab w:val="left" w:pos="0"/>
          <w:tab w:val="left" w:pos="30"/>
          <w:tab w:val="left" w:pos="720"/>
        </w:tabs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Além da força normativa dos pr</w:t>
      </w:r>
      <w:r>
        <w:rPr>
          <w:rFonts w:eastAsia="Times New Roman"/>
          <w:sz w:val="24"/>
          <w:szCs w:val="24"/>
        </w:rPr>
        <w:t xml:space="preserve">incípios constitucionais, temos a previsão do Estatuto dos Servidores da União, Lei nº. 8.112/90, que em seu art. 117, inciso VIII, proíbe o servidor de manter sob sua chefia imediata, em cargo ou função de confiança, cônjuge, companheiro </w:t>
      </w:r>
      <w:r>
        <w:rPr>
          <w:rFonts w:eastAsia="Times New Roman"/>
          <w:sz w:val="24"/>
          <w:szCs w:val="24"/>
        </w:rPr>
        <w:lastRenderedPageBreak/>
        <w:t xml:space="preserve">ou parente até o </w:t>
      </w:r>
      <w:r>
        <w:rPr>
          <w:rFonts w:eastAsia="Times New Roman"/>
          <w:sz w:val="24"/>
          <w:szCs w:val="24"/>
        </w:rPr>
        <w:t>segundo grau civil. No Poder Executivo Federal, dispõe sobre a vedação do nepotismo o Decreto nº 7.203, de 04/06/2010. No âmbito do Poder Judiciário, foi editada pelo Conselho Nacional de Justiça (CNJ) a Resolução nº7 (18/10/2005), alterada pelas Resoluçõe</w:t>
      </w:r>
      <w:r>
        <w:rPr>
          <w:rFonts w:eastAsia="Times New Roman"/>
          <w:sz w:val="24"/>
          <w:szCs w:val="24"/>
        </w:rPr>
        <w:t xml:space="preserve">s nº9 (06/12/2005) e nº 21 (29/08/2006). Também para o Ministério Público, o Conselho Nacional do Ministério Público (CNMP) publicou as Resoluções de nº 1 (04/11/2005), nº 7 (14/04/2006) e nº 21 (19/06/2007). Conforme as lições de Fernanda </w:t>
      </w:r>
      <w:proofErr w:type="spellStart"/>
      <w:r>
        <w:rPr>
          <w:rFonts w:eastAsia="Times New Roman"/>
          <w:sz w:val="24"/>
          <w:szCs w:val="24"/>
        </w:rPr>
        <w:t>Marinela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b/>
          <w:sz w:val="24"/>
          <w:szCs w:val="24"/>
        </w:rPr>
        <w:t>“Esse</w:t>
      </w:r>
      <w:r>
        <w:rPr>
          <w:rFonts w:eastAsia="Times New Roman"/>
          <w:b/>
          <w:sz w:val="24"/>
          <w:szCs w:val="24"/>
        </w:rPr>
        <w:t>s diplomas proíbem a presença de cônjuge, companheiro ou parente em linha reta, colateral ou por afinidade, até o terceiro grau, inclusive dos respectivos membros ou juízes vinculados ao tribunal, assim como de qualquer servidor ocupante de cargo de direçã</w:t>
      </w:r>
      <w:r>
        <w:rPr>
          <w:rFonts w:eastAsia="Times New Roman"/>
          <w:b/>
          <w:sz w:val="24"/>
          <w:szCs w:val="24"/>
        </w:rPr>
        <w:t>o ou assessoramento, para exercer cargo em comissão ou função de confiança, para as contratações temporárias e para as contratações diretas com dispensa ou inexigibilidade de licitação em que o parentesco exista entre os sócios, gerentes ou diretores da pe</w:t>
      </w:r>
      <w:r>
        <w:rPr>
          <w:rFonts w:eastAsia="Times New Roman"/>
          <w:b/>
          <w:sz w:val="24"/>
          <w:szCs w:val="24"/>
        </w:rPr>
        <w:t>ssoa jurídica.” (Curso de Direito Administrativo, 5ª ed., pg. 65.</w:t>
      </w:r>
      <w:proofErr w:type="gramStart"/>
      <w:r>
        <w:rPr>
          <w:rFonts w:eastAsia="Times New Roman"/>
          <w:b/>
          <w:sz w:val="24"/>
          <w:szCs w:val="24"/>
        </w:rPr>
        <w:t>)</w:t>
      </w:r>
      <w:proofErr w:type="gramEnd"/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7.</w:t>
      </w:r>
      <w:r>
        <w:rPr>
          <w:rFonts w:eastAsia="Times New Roman"/>
          <w:sz w:val="24"/>
          <w:szCs w:val="24"/>
        </w:rPr>
        <w:tab/>
        <w:t xml:space="preserve">Mesmo </w:t>
      </w:r>
      <w:r>
        <w:rPr>
          <w:rFonts w:eastAsia="Times New Roman"/>
          <w:sz w:val="24"/>
          <w:szCs w:val="24"/>
        </w:rPr>
        <w:t>com todos estes dispositivos, a perniciosa prática persistia. Em agosto de 2008, o Supremo Tribunal Federal (STF) editou a Súmula Vinculante nº 13, na tentativa de impedir o nepoti</w:t>
      </w:r>
      <w:r>
        <w:rPr>
          <w:rFonts w:eastAsia="Times New Roman"/>
          <w:sz w:val="24"/>
          <w:szCs w:val="24"/>
        </w:rPr>
        <w:t>smo em todos os órgãos do Estado, incluindo as estruturas do Poder Executivo e Legislativo, bem como as pessoas jurídicas da Administração Pública indireta (autarquias, fundações, empresas públicas e sociedades de economia mista). Estabelece a referida Súm</w:t>
      </w:r>
      <w:r>
        <w:rPr>
          <w:rFonts w:eastAsia="Times New Roman"/>
          <w:sz w:val="24"/>
          <w:szCs w:val="24"/>
        </w:rPr>
        <w:t>ula:</w:t>
      </w:r>
    </w:p>
    <w:p w:rsidR="0027173D" w:rsidRDefault="00D05D81">
      <w:pPr>
        <w:pStyle w:val="Padro"/>
        <w:spacing w:line="100" w:lineRule="atLeast"/>
        <w:ind w:firstLine="15"/>
        <w:jc w:val="both"/>
      </w:pPr>
      <w:r>
        <w:rPr>
          <w:rFonts w:eastAsia="Times New Roman"/>
          <w:b/>
          <w:sz w:val="24"/>
          <w:szCs w:val="24"/>
        </w:rPr>
        <w:t xml:space="preserve">“A nomeação de cônjuge, companheiro, ou parente, em linha reta, colateral ou por afinidade, até o 3º grau inclusive, da autoridade nomeante ou de servidor da mesma pessoa jurídica, investido em cargo de direção, chefia ou assessoramento, para o </w:t>
      </w:r>
      <w:r>
        <w:rPr>
          <w:rFonts w:eastAsia="Times New Roman"/>
          <w:b/>
          <w:sz w:val="24"/>
          <w:szCs w:val="24"/>
        </w:rPr>
        <w:t>exercício de cargo em comissão ou de confiança, ou, ainda, de função gratificada na Administração Pública direta ou indireta, em qualquer dos Poderes da União, dos Estados, do Distrito Federal e dos Municípios, compreendido o ajuste mediante designações re</w:t>
      </w:r>
      <w:r>
        <w:rPr>
          <w:rFonts w:eastAsia="Times New Roman"/>
          <w:b/>
          <w:sz w:val="24"/>
          <w:szCs w:val="24"/>
        </w:rPr>
        <w:t>cíprocas, viola a Constituição Federal.“</w:t>
      </w:r>
    </w:p>
    <w:p w:rsidR="0027173D" w:rsidRDefault="0027173D">
      <w:pPr>
        <w:pStyle w:val="Padro"/>
        <w:spacing w:line="100" w:lineRule="atLeast"/>
        <w:ind w:firstLine="15"/>
        <w:jc w:val="both"/>
      </w:pPr>
    </w:p>
    <w:p w:rsidR="0027173D" w:rsidRDefault="00D05D81">
      <w:pPr>
        <w:pStyle w:val="Padro"/>
        <w:numPr>
          <w:ilvl w:val="0"/>
          <w:numId w:val="8"/>
        </w:numPr>
        <w:spacing w:line="100" w:lineRule="atLeast"/>
        <w:ind w:left="-15" w:firstLine="15"/>
        <w:jc w:val="both"/>
      </w:pPr>
      <w:r>
        <w:rPr>
          <w:rFonts w:eastAsia="Times New Roman"/>
          <w:sz w:val="24"/>
          <w:szCs w:val="24"/>
        </w:rPr>
        <w:t>Considerando o enunciado, temos:</w:t>
      </w:r>
    </w:p>
    <w:p w:rsidR="0027173D" w:rsidRDefault="0027173D">
      <w:pPr>
        <w:pStyle w:val="Padro"/>
        <w:spacing w:line="100" w:lineRule="atLeast"/>
        <w:ind w:left="-15" w:firstLine="15"/>
        <w:jc w:val="both"/>
      </w:pPr>
    </w:p>
    <w:tbl>
      <w:tblPr>
        <w:tblW w:w="0" w:type="auto"/>
        <w:tblInd w:w="-395" w:type="dxa"/>
        <w:tblBorders>
          <w:top w:val="single" w:sz="6" w:space="0" w:color="808080"/>
          <w:left w:val="single" w:sz="6" w:space="0" w:color="808080"/>
          <w:bottom w:val="single" w:sz="4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919"/>
        <w:gridCol w:w="1918"/>
        <w:gridCol w:w="5006"/>
      </w:tblGrid>
      <w:tr w:rsidR="0027173D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73D" w:rsidRDefault="0027173D">
            <w:pPr>
              <w:pStyle w:val="Padro"/>
              <w:spacing w:line="100" w:lineRule="atLeast"/>
              <w:jc w:val="both"/>
            </w:pPr>
          </w:p>
        </w:tc>
        <w:tc>
          <w:tcPr>
            <w:tcW w:w="191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Parente em linha reta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Parente colateral</w:t>
            </w:r>
          </w:p>
        </w:tc>
        <w:tc>
          <w:tcPr>
            <w:tcW w:w="50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Parente por afinidade (familiares do cônjuge).</w:t>
            </w:r>
          </w:p>
        </w:tc>
      </w:tr>
      <w:tr w:rsidR="0027173D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left w:val="single" w:sz="6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1ª grau</w:t>
            </w:r>
          </w:p>
        </w:tc>
        <w:tc>
          <w:tcPr>
            <w:tcW w:w="191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Pai,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mãe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 filho(a)</w:t>
            </w:r>
          </w:p>
        </w:tc>
        <w:tc>
          <w:tcPr>
            <w:tcW w:w="191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27173D">
            <w:pPr>
              <w:pStyle w:val="Padro"/>
              <w:spacing w:line="100" w:lineRule="atLeast"/>
              <w:jc w:val="both"/>
            </w:pPr>
          </w:p>
        </w:tc>
        <w:tc>
          <w:tcPr>
            <w:tcW w:w="50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Padrasto/madrasta,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enteado(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 sogro(a), genro e nora.</w:t>
            </w:r>
          </w:p>
        </w:tc>
      </w:tr>
      <w:tr w:rsidR="0027173D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left w:val="single" w:sz="6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2º grau</w:t>
            </w:r>
          </w:p>
        </w:tc>
        <w:tc>
          <w:tcPr>
            <w:tcW w:w="191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Avô/avó 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neto(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91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sz w:val="24"/>
                <w:szCs w:val="24"/>
              </w:rPr>
              <w:t>Irmãos.</w:t>
            </w:r>
          </w:p>
        </w:tc>
        <w:tc>
          <w:tcPr>
            <w:tcW w:w="50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Cunhado(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a), avô/avó  do cônjuge.</w:t>
            </w:r>
          </w:p>
        </w:tc>
      </w:tr>
      <w:tr w:rsidR="0027173D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</w:rPr>
              <w:t>3º grau</w:t>
            </w:r>
          </w:p>
        </w:tc>
        <w:tc>
          <w:tcPr>
            <w:tcW w:w="1919" w:type="dxa"/>
            <w:tcBorders>
              <w:left w:val="single" w:sz="4" w:space="0" w:color="808080"/>
              <w:bottom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Bisavô/bisavó 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bisneto(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918" w:type="dxa"/>
            <w:tcBorders>
              <w:left w:val="single" w:sz="4" w:space="0" w:color="808080"/>
              <w:bottom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Tio(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 e sobrinho(a)</w:t>
            </w:r>
          </w:p>
        </w:tc>
        <w:tc>
          <w:tcPr>
            <w:tcW w:w="50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73D" w:rsidRDefault="00D05D81">
            <w:pPr>
              <w:pStyle w:val="Padro"/>
              <w:spacing w:line="100" w:lineRule="atLeas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Concunhado(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a).</w:t>
            </w:r>
          </w:p>
        </w:tc>
      </w:tr>
    </w:tbl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numPr>
          <w:ilvl w:val="0"/>
          <w:numId w:val="6"/>
        </w:numPr>
        <w:tabs>
          <w:tab w:val="clear" w:pos="720"/>
          <w:tab w:val="left" w:pos="-420"/>
          <w:tab w:val="left" w:pos="645"/>
          <w:tab w:val="left" w:pos="660"/>
          <w:tab w:val="left" w:pos="675"/>
          <w:tab w:val="left" w:pos="690"/>
          <w:tab w:val="left" w:pos="705"/>
        </w:tabs>
        <w:spacing w:line="100" w:lineRule="atLeast"/>
        <w:ind w:left="-15" w:firstLine="15"/>
        <w:jc w:val="both"/>
      </w:pPr>
      <w:r>
        <w:rPr>
          <w:rFonts w:eastAsia="Times New Roman"/>
          <w:sz w:val="24"/>
          <w:szCs w:val="24"/>
        </w:rPr>
        <w:t xml:space="preserve">Importante ressaltar que no trecho final </w:t>
      </w:r>
      <w:r>
        <w:rPr>
          <w:rFonts w:eastAsia="Times New Roman"/>
          <w:b/>
          <w:sz w:val="24"/>
          <w:szCs w:val="24"/>
        </w:rPr>
        <w:t>“(...) compreendido o ajuste mediante designações recíprocas (...)”</w:t>
      </w:r>
      <w:r>
        <w:rPr>
          <w:rFonts w:eastAsia="Times New Roman"/>
          <w:sz w:val="24"/>
          <w:szCs w:val="24"/>
        </w:rPr>
        <w:t xml:space="preserve">, a súmula também vetou o chamado </w:t>
      </w:r>
      <w:r>
        <w:rPr>
          <w:rFonts w:eastAsia="Times New Roman"/>
          <w:b/>
          <w:sz w:val="24"/>
          <w:szCs w:val="24"/>
        </w:rPr>
        <w:t>nepotismo cruzado</w:t>
      </w:r>
      <w:r>
        <w:rPr>
          <w:rFonts w:eastAsia="Times New Roman"/>
          <w:sz w:val="24"/>
          <w:szCs w:val="24"/>
        </w:rPr>
        <w:t xml:space="preserve">, quando um político ou servidor indica um parente seu para assumir um cargo em outro órgão, </w:t>
      </w:r>
      <w:proofErr w:type="gramStart"/>
      <w:r>
        <w:rPr>
          <w:rFonts w:eastAsia="Times New Roman"/>
          <w:sz w:val="24"/>
          <w:szCs w:val="24"/>
        </w:rPr>
        <w:t>sob supervisão</w:t>
      </w:r>
      <w:proofErr w:type="gramEnd"/>
      <w:r>
        <w:rPr>
          <w:rFonts w:eastAsia="Times New Roman"/>
          <w:sz w:val="24"/>
          <w:szCs w:val="24"/>
        </w:rPr>
        <w:t xml:space="preserve"> de outro político ou servidor, enquanto este último indica um parente seu para trabalhar junto ao</w:t>
      </w:r>
      <w:r>
        <w:rPr>
          <w:rFonts w:eastAsia="Times New Roman"/>
          <w:sz w:val="24"/>
          <w:szCs w:val="24"/>
        </w:rPr>
        <w:t xml:space="preserve"> primeiro. Há uma troca de indicações, objetivando burlar as restrições impostas.</w:t>
      </w:r>
    </w:p>
    <w:p w:rsidR="0027173D" w:rsidRDefault="00D05D81">
      <w:pPr>
        <w:pStyle w:val="Padro"/>
        <w:tabs>
          <w:tab w:val="clear" w:pos="720"/>
          <w:tab w:val="left" w:pos="-405"/>
          <w:tab w:val="left" w:pos="-75"/>
          <w:tab w:val="left" w:pos="645"/>
          <w:tab w:val="left" w:pos="660"/>
          <w:tab w:val="left" w:pos="675"/>
          <w:tab w:val="left" w:pos="690"/>
          <w:tab w:val="left" w:pos="705"/>
        </w:tabs>
        <w:spacing w:line="100" w:lineRule="atLeast"/>
        <w:ind w:left="-15"/>
        <w:jc w:val="both"/>
      </w:pPr>
      <w:r>
        <w:rPr>
          <w:rFonts w:eastAsia="Times New Roman"/>
          <w:sz w:val="24"/>
          <w:szCs w:val="24"/>
        </w:rPr>
        <w:t>10.</w:t>
      </w:r>
      <w:r>
        <w:rPr>
          <w:rFonts w:eastAsia="Times New Roman"/>
          <w:sz w:val="24"/>
          <w:szCs w:val="24"/>
        </w:rPr>
        <w:tab/>
        <w:t xml:space="preserve">Contudo, </w:t>
      </w:r>
      <w:r>
        <w:rPr>
          <w:rFonts w:eastAsia="Times New Roman"/>
          <w:b/>
          <w:sz w:val="24"/>
          <w:szCs w:val="24"/>
        </w:rPr>
        <w:t>ficam ressalvadas as nomeações realizadas para os cargos políticos de Ministro do Estado, Secretário Estadual e Municipal</w:t>
      </w:r>
      <w:r>
        <w:rPr>
          <w:rFonts w:eastAsia="Times New Roman"/>
          <w:sz w:val="24"/>
          <w:szCs w:val="24"/>
        </w:rPr>
        <w:t>, conforme decisão proferida pelo STF no</w:t>
      </w:r>
      <w:r>
        <w:rPr>
          <w:rFonts w:eastAsia="Times New Roman"/>
          <w:sz w:val="24"/>
          <w:szCs w:val="24"/>
        </w:rPr>
        <w:t xml:space="preserve"> Agravo Regimental em Medida Cautelar em Reclamação nº 6650/PR: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 xml:space="preserve">AGRAVO REGIMENTAL EM MEDIDA CAUTELAR EM RECLAMAÇÃO. NOMEAÇÃO DE IRMÃO DE GOVERNADOR DE ESTADO. CARGO DE SECRETÁRIO DE ESTADO. NEPOTISMO. SÚMULA VINCULANTE Nº 13. INAPLICABILIDADE AO CASO. </w:t>
      </w:r>
      <w:r>
        <w:rPr>
          <w:rFonts w:eastAsia="Times New Roman"/>
          <w:i/>
          <w:sz w:val="24"/>
          <w:szCs w:val="24"/>
        </w:rPr>
        <w:t xml:space="preserve">CARGO DE NATUREZA POLÍTICA. AGENTE POLÍTICO. ENTENDIMENTO FIRMADO NO JULGAMENTO DO RECURSO EXTRAORDINÁRIO 579.951/RN. OCORRÊNCIA DA FUMAÇA DO BOM </w:t>
      </w:r>
      <w:proofErr w:type="gramStart"/>
      <w:r>
        <w:rPr>
          <w:rFonts w:eastAsia="Times New Roman"/>
          <w:i/>
          <w:sz w:val="24"/>
          <w:szCs w:val="24"/>
        </w:rPr>
        <w:t>DIREITO.</w:t>
      </w:r>
      <w:proofErr w:type="gramEnd"/>
      <w:r>
        <w:rPr>
          <w:rFonts w:eastAsia="Times New Roman"/>
          <w:i/>
          <w:sz w:val="24"/>
          <w:szCs w:val="24"/>
        </w:rPr>
        <w:t xml:space="preserve">1. Impossibilidade de submissão do reclamante, Secretário Estadual de Transporte, agente político, às </w:t>
      </w:r>
      <w:r>
        <w:rPr>
          <w:rFonts w:eastAsia="Times New Roman"/>
          <w:i/>
          <w:sz w:val="24"/>
          <w:szCs w:val="24"/>
        </w:rPr>
        <w:t>hipóteses expressamente elencadas na Súmula Vinculante nº 13, por se tratar de cargo de natureza política. 2. Existência de precedente do Plenário do Tribunal: RE 579.951/RN, rel. Min. Ricardo Lewandowski, DJE 12.9.2008. 3. Ocorrência da fumaça do bom dire</w:t>
      </w:r>
      <w:r>
        <w:rPr>
          <w:rFonts w:eastAsia="Times New Roman"/>
          <w:i/>
          <w:sz w:val="24"/>
          <w:szCs w:val="24"/>
        </w:rPr>
        <w:t>ito. 4. Ausência de sentido em relação às alegações externadas pelo agravante quanto à conduta do prolator da decisão ora agravada. 5. Existência de equívoco lamentável, ante a impossibilidade lógica de uma decisão devidamente assinada por Ministro desta C</w:t>
      </w:r>
      <w:r>
        <w:rPr>
          <w:rFonts w:eastAsia="Times New Roman"/>
          <w:i/>
          <w:sz w:val="24"/>
          <w:szCs w:val="24"/>
        </w:rPr>
        <w:t>asa ter sido enviada, por fac-símile, ao advogado do reclamante, em data anterior à sua própria assinatura. 6. Agravo regimental improvido.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11.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Tanto a Resolução nº 7 do CNJ como a Súmula Vinculante nº 13, foram objeto de inúmeras críticas. Primeiramente, </w:t>
      </w:r>
      <w:r>
        <w:rPr>
          <w:rFonts w:eastAsia="Times New Roman"/>
          <w:sz w:val="24"/>
          <w:szCs w:val="24"/>
        </w:rPr>
        <w:t>alegou-se que para vedar a prática do nepotismo na esfera do Executivo e do Legislativo, seria necessária a existência de lei formal neste sentido. Entretanto, no julgamento do Recurso Extraordinário nº 579.951, a Suprema Corte declarou que a proibição dec</w:t>
      </w:r>
      <w:r>
        <w:rPr>
          <w:rFonts w:eastAsia="Times New Roman"/>
          <w:sz w:val="24"/>
          <w:szCs w:val="24"/>
        </w:rPr>
        <w:t>orre diretamente dos princípios expressos no art. 37, caput, da Constituição da República. Veja a ementa: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 xml:space="preserve">EMENTA: ADMINISTRAÇÃO PÚBLICA. VEDAÇÃO NEPOTISMO. NECESSIDADE DE LEI FORMAL. INEXIGIBILIDADE. PROIBIÇÃO QUE DECORRE DO ART. 37, CAPUT, DA CF. </w:t>
      </w:r>
      <w:proofErr w:type="gramStart"/>
      <w:r>
        <w:rPr>
          <w:rFonts w:eastAsia="Times New Roman"/>
          <w:i/>
          <w:sz w:val="24"/>
          <w:szCs w:val="24"/>
        </w:rPr>
        <w:t>RE PROVI</w:t>
      </w:r>
      <w:r>
        <w:rPr>
          <w:rFonts w:eastAsia="Times New Roman"/>
          <w:i/>
          <w:sz w:val="24"/>
          <w:szCs w:val="24"/>
        </w:rPr>
        <w:t>DO</w:t>
      </w:r>
      <w:proofErr w:type="gramEnd"/>
      <w:r>
        <w:rPr>
          <w:rFonts w:eastAsia="Times New Roman"/>
          <w:i/>
          <w:sz w:val="24"/>
          <w:szCs w:val="24"/>
        </w:rPr>
        <w:t xml:space="preserve"> EM PARTE.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>I - Embora restrita ao âmbito do Judiciário, a Resolução 7/2005 do Conselho Nacional da Justiça, a prática do nepotismo nos demais Poderes é ilícita.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>II - A vedação do nepotismo não exige a edição de lei formal para coibir a prática.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>III - Pro</w:t>
      </w:r>
      <w:r>
        <w:rPr>
          <w:rFonts w:eastAsia="Times New Roman"/>
          <w:i/>
          <w:sz w:val="24"/>
          <w:szCs w:val="24"/>
        </w:rPr>
        <w:t>ibição que decorre diretamente dos princípios contidos no art. 37, caput, da Constituição Federal.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t>IV – Precedentes.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i/>
          <w:sz w:val="24"/>
          <w:szCs w:val="24"/>
        </w:rPr>
        <w:lastRenderedPageBreak/>
        <w:t xml:space="preserve">V - </w:t>
      </w:r>
      <w:proofErr w:type="gramStart"/>
      <w:r>
        <w:rPr>
          <w:rFonts w:eastAsia="Times New Roman"/>
          <w:i/>
          <w:sz w:val="24"/>
          <w:szCs w:val="24"/>
        </w:rPr>
        <w:t>RE conhecido</w:t>
      </w:r>
      <w:proofErr w:type="gramEnd"/>
      <w:r>
        <w:rPr>
          <w:rFonts w:eastAsia="Times New Roman"/>
          <w:i/>
          <w:sz w:val="24"/>
          <w:szCs w:val="24"/>
        </w:rPr>
        <w:t xml:space="preserve"> e parcialmente provido para anular a nomeação do servidor, aparentado com agente político, ocupante, de cargo em comissão.</w:t>
      </w:r>
    </w:p>
    <w:p w:rsidR="0027173D" w:rsidRDefault="00D05D81">
      <w:pPr>
        <w:pStyle w:val="Padro"/>
        <w:numPr>
          <w:ilvl w:val="0"/>
          <w:numId w:val="2"/>
        </w:numPr>
        <w:tabs>
          <w:tab w:val="left" w:pos="0"/>
          <w:tab w:val="left" w:pos="720"/>
        </w:tabs>
        <w:spacing w:line="100" w:lineRule="atLeast"/>
        <w:ind w:left="0" w:hanging="15"/>
        <w:jc w:val="both"/>
      </w:pPr>
      <w:r>
        <w:rPr>
          <w:rFonts w:eastAsia="Times New Roman"/>
          <w:sz w:val="24"/>
          <w:szCs w:val="24"/>
        </w:rPr>
        <w:t>Outra crítica feita diz respeito à redação da Súmula Vinculante nº 13, que, na tentativa de alcançar o maior número de situações possíveis, acabou por criar um texto de difícil compreensão, sem apontar os meios para sua correta aplicação e fiscalização. T</w:t>
      </w:r>
      <w:r>
        <w:rPr>
          <w:rFonts w:eastAsia="Times New Roman"/>
          <w:sz w:val="24"/>
          <w:szCs w:val="24"/>
        </w:rPr>
        <w:t>amanha é a rigidez do texto que as nomeações ocorridas numa mesma pessoa jurídica, e não só no mesmo órgão, também se submetem a regra.</w:t>
      </w:r>
    </w:p>
    <w:p w:rsidR="0027173D" w:rsidRDefault="00D05D81">
      <w:pPr>
        <w:pStyle w:val="Padro"/>
        <w:numPr>
          <w:ilvl w:val="0"/>
          <w:numId w:val="3"/>
        </w:numPr>
        <w:tabs>
          <w:tab w:val="left" w:pos="0"/>
          <w:tab w:val="left" w:pos="720"/>
        </w:tabs>
        <w:spacing w:line="100" w:lineRule="atLeast"/>
        <w:ind w:left="0" w:hanging="15"/>
        <w:jc w:val="both"/>
      </w:pPr>
      <w:r>
        <w:rPr>
          <w:rFonts w:eastAsia="Times New Roman"/>
          <w:sz w:val="24"/>
          <w:szCs w:val="24"/>
        </w:rPr>
        <w:t xml:space="preserve">Em maio do ano passado (2015), foi amplamente noticiado pela imprensa o caso do Desembargador do Tribunal de Justiça de </w:t>
      </w:r>
      <w:r>
        <w:rPr>
          <w:rFonts w:eastAsia="Times New Roman"/>
          <w:sz w:val="24"/>
          <w:szCs w:val="24"/>
        </w:rPr>
        <w:t xml:space="preserve">Minas Gerais (TJMG), </w:t>
      </w:r>
      <w:proofErr w:type="spellStart"/>
      <w:r>
        <w:rPr>
          <w:rFonts w:eastAsia="Times New Roman"/>
          <w:sz w:val="24"/>
          <w:szCs w:val="24"/>
        </w:rPr>
        <w:t>Elpídio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Donizetti</w:t>
      </w:r>
      <w:proofErr w:type="spellEnd"/>
      <w:r>
        <w:rPr>
          <w:rFonts w:eastAsia="Times New Roman"/>
          <w:sz w:val="24"/>
          <w:szCs w:val="24"/>
        </w:rPr>
        <w:t xml:space="preserve"> Nunes, acusado de nomear sua </w:t>
      </w:r>
      <w:proofErr w:type="spellStart"/>
      <w:r>
        <w:rPr>
          <w:rFonts w:eastAsia="Times New Roman"/>
          <w:sz w:val="24"/>
          <w:szCs w:val="24"/>
        </w:rPr>
        <w:t>ex-esposa</w:t>
      </w:r>
      <w:proofErr w:type="spellEnd"/>
      <w:r>
        <w:rPr>
          <w:rFonts w:eastAsia="Times New Roman"/>
          <w:sz w:val="24"/>
          <w:szCs w:val="24"/>
        </w:rPr>
        <w:t xml:space="preserve">, Leila </w:t>
      </w:r>
      <w:proofErr w:type="spellStart"/>
      <w:r>
        <w:rPr>
          <w:rFonts w:eastAsia="Times New Roman"/>
          <w:sz w:val="24"/>
          <w:szCs w:val="24"/>
        </w:rPr>
        <w:t>Donizetti</w:t>
      </w:r>
      <w:proofErr w:type="spellEnd"/>
      <w:r>
        <w:rPr>
          <w:rFonts w:eastAsia="Times New Roman"/>
          <w:sz w:val="24"/>
          <w:szCs w:val="24"/>
        </w:rPr>
        <w:t xml:space="preserve"> Freitas Santos Nunes, para o cargo comissionado de assessora do Tribunal. A denúncia foi feita ao CNJ pelo Sindicato dos Servidores da Justiça de 2ª Instância de</w:t>
      </w:r>
      <w:r>
        <w:rPr>
          <w:rFonts w:eastAsia="Times New Roman"/>
          <w:sz w:val="24"/>
          <w:szCs w:val="24"/>
        </w:rPr>
        <w:t xml:space="preserve"> Minas Gerais (SINJUS/MG).</w:t>
      </w:r>
    </w:p>
    <w:p w:rsidR="0027173D" w:rsidRDefault="00D05D81">
      <w:pPr>
        <w:pStyle w:val="Padro"/>
        <w:spacing w:line="100" w:lineRule="atLeast"/>
        <w:jc w:val="both"/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Durante a apuração, o CNJ encontrou nos autos do processo de separação do casal, um acordo em que </w:t>
      </w:r>
      <w:proofErr w:type="spellStart"/>
      <w:r>
        <w:rPr>
          <w:rFonts w:eastAsia="Times New Roman"/>
          <w:sz w:val="24"/>
          <w:szCs w:val="24"/>
        </w:rPr>
        <w:t>Elpídio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Donizetti</w:t>
      </w:r>
      <w:proofErr w:type="spellEnd"/>
      <w:r>
        <w:rPr>
          <w:rFonts w:eastAsia="Times New Roman"/>
          <w:sz w:val="24"/>
          <w:szCs w:val="24"/>
        </w:rPr>
        <w:t xml:space="preserve"> ficaria desobrigado de pagar pensão alimentícia à Leila Nunes enquanto esta ocupasse o cargo de assessora.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ab/>
        <w:t xml:space="preserve">Em sua defesa, o desembargador alegou que a nomeação somente ocorreu devido às qualificações técnicas de sua </w:t>
      </w:r>
      <w:proofErr w:type="spellStart"/>
      <w:r>
        <w:rPr>
          <w:rFonts w:eastAsia="Times New Roman"/>
          <w:sz w:val="24"/>
          <w:szCs w:val="24"/>
        </w:rPr>
        <w:t>ex-esposa</w:t>
      </w:r>
      <w:proofErr w:type="spellEnd"/>
      <w:r>
        <w:rPr>
          <w:rFonts w:eastAsia="Times New Roman"/>
          <w:sz w:val="24"/>
          <w:szCs w:val="24"/>
        </w:rPr>
        <w:t>, e que na época já não havia mais vinculo conjugal entre eles.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 xml:space="preserve">16. </w:t>
      </w:r>
      <w:r>
        <w:rPr>
          <w:rFonts w:eastAsia="Times New Roman"/>
          <w:sz w:val="24"/>
          <w:szCs w:val="24"/>
        </w:rPr>
        <w:tab/>
        <w:t>Após a repercussão do caso, o TJMG divulgou em nota que, assim que</w:t>
      </w:r>
      <w:r>
        <w:rPr>
          <w:rFonts w:eastAsia="Times New Roman"/>
          <w:sz w:val="24"/>
          <w:szCs w:val="24"/>
        </w:rPr>
        <w:t xml:space="preserve"> fosse comunicado da decisão do CNJ, adotaria as medidas necessárias para sua fiel execução.</w:t>
      </w:r>
    </w:p>
    <w:p w:rsidR="0027173D" w:rsidRDefault="00D05D81">
      <w:pPr>
        <w:pStyle w:val="Padro"/>
        <w:numPr>
          <w:ilvl w:val="0"/>
          <w:numId w:val="4"/>
        </w:numPr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>O combate ao nepotismo revela-se como um importante meio para a preservação da moralidade administrativa, contribuindo na construção de uma Administração Pública e</w:t>
      </w:r>
      <w:r>
        <w:rPr>
          <w:rFonts w:eastAsia="Times New Roman"/>
          <w:sz w:val="24"/>
          <w:szCs w:val="24"/>
        </w:rPr>
        <w:t>ficiente e democrática, na medida em que prestigia a aptidão técnica do servidor e assegura a todos o acesso aos cargos, empregos e funções públicas, desde que preenchidas as condições legalmente exigidas.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b/>
          <w:bCs/>
          <w:sz w:val="32"/>
          <w:szCs w:val="32"/>
        </w:rPr>
        <w:t>O Nepotismo Cruzado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18.</w:t>
      </w:r>
      <w:r>
        <w:rPr>
          <w:rFonts w:eastAsia="Times New Roman"/>
          <w:sz w:val="24"/>
          <w:szCs w:val="24"/>
        </w:rPr>
        <w:tab/>
        <w:t>A Justiça Brasileira proíb</w:t>
      </w:r>
      <w:r>
        <w:rPr>
          <w:rFonts w:eastAsia="Times New Roman"/>
          <w:sz w:val="24"/>
          <w:szCs w:val="24"/>
        </w:rPr>
        <w:t xml:space="preserve">e a prática do Nepotismo nos órgãos públicos. No entanto, agentes públicos desenvolveram um novo esquema de privilégios com base no tradicional, o </w:t>
      </w:r>
      <w:r>
        <w:rPr>
          <w:rFonts w:eastAsia="Times New Roman"/>
          <w:sz w:val="24"/>
          <w:szCs w:val="24"/>
        </w:rPr>
        <w:t>Nepotismo Cruzado.</w:t>
      </w:r>
      <w:r>
        <w:rPr>
          <w:rFonts w:eastAsia="Times New Roman"/>
          <w:sz w:val="24"/>
          <w:szCs w:val="24"/>
        </w:rPr>
        <w:t xml:space="preserve"> Neste caso, há um acordo entre as partes envolvidas que estabelece a promoção de parentes </w:t>
      </w:r>
      <w:r>
        <w:rPr>
          <w:rFonts w:eastAsia="Times New Roman"/>
          <w:sz w:val="24"/>
          <w:szCs w:val="24"/>
        </w:rPr>
        <w:t>do outro. Ou seja, determinado gestor público indica para algum cargo de sua administração o parente do gestor com o qual estabeleceu um acordo. Em troca, o gestor que teve seu parente beneficiado também indica para sua administração um parente daquele que</w:t>
      </w:r>
      <w:r>
        <w:rPr>
          <w:rFonts w:eastAsia="Times New Roman"/>
          <w:sz w:val="24"/>
          <w:szCs w:val="24"/>
        </w:rPr>
        <w:t xml:space="preserve"> o beneficiou. Este tipo de Nepotismo é mais difícil de ser identificado porque </w:t>
      </w:r>
      <w:proofErr w:type="gramStart"/>
      <w:r>
        <w:rPr>
          <w:rFonts w:eastAsia="Times New Roman"/>
          <w:sz w:val="24"/>
          <w:szCs w:val="24"/>
        </w:rPr>
        <w:t>ocorre</w:t>
      </w:r>
      <w:proofErr w:type="gramEnd"/>
      <w:r>
        <w:rPr>
          <w:rFonts w:eastAsia="Times New Roman"/>
          <w:sz w:val="24"/>
          <w:szCs w:val="24"/>
        </w:rPr>
        <w:t xml:space="preserve"> em órgãos públicos muitos distintos, mas também envolvem a concessão de privilégios como no modo tradicional. Da mesma forma, o Nepotismo Cruzado também é proibido judic</w:t>
      </w:r>
      <w:r>
        <w:rPr>
          <w:rFonts w:eastAsia="Times New Roman"/>
          <w:sz w:val="24"/>
          <w:szCs w:val="24"/>
        </w:rPr>
        <w:t>ialmente.</w:t>
      </w:r>
    </w:p>
    <w:p w:rsidR="0027173D" w:rsidRDefault="00D05D81">
      <w:pPr>
        <w:pStyle w:val="Padro"/>
        <w:numPr>
          <w:ilvl w:val="0"/>
          <w:numId w:val="7"/>
        </w:numPr>
        <w:spacing w:line="100" w:lineRule="atLeast"/>
        <w:ind w:left="0" w:firstLine="0"/>
        <w:jc w:val="both"/>
      </w:pPr>
      <w:r>
        <w:rPr>
          <w:rFonts w:eastAsia="Times New Roman"/>
          <w:sz w:val="24"/>
          <w:szCs w:val="24"/>
        </w:rPr>
        <w:t xml:space="preserve">Com o cerco ao nepotismo este não desapareceu, mas se aperfeiçoou. O nepotismo que era explicito, passou a ser camuflado.  Os órgãos redistribuem os parentes entre si.  O ajuste se dá por designações recíprocas, tipo eu nomeio seus parentes e </w:t>
      </w:r>
      <w:r>
        <w:rPr>
          <w:rFonts w:eastAsia="Times New Roman"/>
          <w:sz w:val="24"/>
          <w:szCs w:val="24"/>
        </w:rPr>
        <w:t xml:space="preserve">você nomeia os meus.  É o </w:t>
      </w:r>
      <w:proofErr w:type="gramStart"/>
      <w:r>
        <w:rPr>
          <w:rFonts w:eastAsia="Times New Roman"/>
          <w:sz w:val="24"/>
          <w:szCs w:val="24"/>
        </w:rPr>
        <w:t xml:space="preserve">“ </w:t>
      </w:r>
      <w:proofErr w:type="gramEnd"/>
      <w:r>
        <w:rPr>
          <w:rFonts w:eastAsia="Times New Roman"/>
          <w:sz w:val="24"/>
          <w:szCs w:val="24"/>
        </w:rPr>
        <w:t xml:space="preserve">jeitinho brasileiro”  funcionando.  Se eu não posso nomear a minha filha, nomeio </w:t>
      </w:r>
      <w:r>
        <w:rPr>
          <w:rFonts w:eastAsia="Times New Roman"/>
          <w:sz w:val="24"/>
          <w:szCs w:val="24"/>
        </w:rPr>
        <w:lastRenderedPageBreak/>
        <w:t>o meu genro, ou peço para que um colega magistrado o nomeie em seu gabinete. Digo que vou fazer</w:t>
      </w:r>
      <w:proofErr w:type="gramStart"/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>uma vista de cortesia a um colega em outro tribuna</w:t>
      </w:r>
      <w:r>
        <w:rPr>
          <w:rFonts w:eastAsia="Times New Roman"/>
          <w:sz w:val="24"/>
          <w:szCs w:val="24"/>
        </w:rPr>
        <w:t>l, e lá peço que nomeie um parente ou peço que ceda um  parente lotado no referido tribunal para o órgão em que vou presidir.</w:t>
      </w:r>
    </w:p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spacing w:line="100" w:lineRule="atLeast"/>
        <w:ind w:firstLine="15"/>
        <w:jc w:val="both"/>
      </w:pPr>
      <w:r>
        <w:rPr>
          <w:rFonts w:eastAsia="Times New Roman"/>
          <w:b/>
          <w:bCs/>
          <w:sz w:val="32"/>
          <w:szCs w:val="32"/>
        </w:rPr>
        <w:t>Caso recente de Nepotismo no PJU</w:t>
      </w:r>
    </w:p>
    <w:p w:rsidR="0027173D" w:rsidRDefault="00D05D81">
      <w:pPr>
        <w:pStyle w:val="Padro"/>
        <w:spacing w:line="100" w:lineRule="atLeast"/>
        <w:jc w:val="both"/>
      </w:pPr>
      <w:r>
        <w:rPr>
          <w:sz w:val="24"/>
          <w:szCs w:val="24"/>
          <w:shd w:val="clear" w:color="auto" w:fill="FFFFFF"/>
        </w:rPr>
        <w:t>20.</w:t>
      </w:r>
      <w:r>
        <w:rPr>
          <w:sz w:val="24"/>
          <w:szCs w:val="24"/>
          <w:shd w:val="clear" w:color="auto" w:fill="FFFFFF"/>
        </w:rPr>
        <w:tab/>
        <w:t xml:space="preserve">O Conselho Nacional de Justiça (CNJ) vai julgar, a partir de </w:t>
      </w:r>
      <w:proofErr w:type="gramStart"/>
      <w:r>
        <w:rPr>
          <w:sz w:val="24"/>
          <w:szCs w:val="24"/>
          <w:shd w:val="clear" w:color="auto" w:fill="FFFFFF"/>
        </w:rPr>
        <w:t>5</w:t>
      </w:r>
      <w:proofErr w:type="gramEnd"/>
      <w:r>
        <w:rPr>
          <w:sz w:val="24"/>
          <w:szCs w:val="24"/>
          <w:shd w:val="clear" w:color="auto" w:fill="FFFFFF"/>
        </w:rPr>
        <w:t xml:space="preserve"> de abril, o procedimento de </w:t>
      </w:r>
      <w:r>
        <w:rPr>
          <w:sz w:val="24"/>
          <w:szCs w:val="24"/>
          <w:shd w:val="clear" w:color="auto" w:fill="FFFFFF"/>
        </w:rPr>
        <w:t>Pedido de Providências que investiga possíveis irregularidades na transferência do servidor Pedro Ivo Mendes Gonzaga Neiva do Tribunal Regional Eleitoral do Amazonas (TRE-AM) para o Tribunal Regional Eleitoral do Distrito Federal (TRE-DF). Pedro Ivo não fi</w:t>
      </w:r>
      <w:r>
        <w:rPr>
          <w:sz w:val="24"/>
          <w:szCs w:val="24"/>
          <w:shd w:val="clear" w:color="auto" w:fill="FFFFFF"/>
        </w:rPr>
        <w:t>cou sequer uma semana no TRE-DF e foi cedido ao Tribunal de Justiça do Distrito Federal e dos Territórios (TJDFT), onde seu pai, o desembargador Romeo Gonzaga Neiva, é o atual corregedor-geral de Justiça.</w:t>
      </w:r>
    </w:p>
    <w:p w:rsidR="0027173D" w:rsidRDefault="00D05D81">
      <w:pPr>
        <w:pStyle w:val="Padro"/>
        <w:spacing w:line="100" w:lineRule="atLeast"/>
        <w:jc w:val="both"/>
      </w:pPr>
      <w:r>
        <w:rPr>
          <w:sz w:val="24"/>
          <w:szCs w:val="24"/>
          <w:shd w:val="clear" w:color="auto" w:fill="FFFFFF"/>
        </w:rPr>
        <w:t>21.</w:t>
      </w:r>
      <w:r>
        <w:rPr>
          <w:sz w:val="24"/>
          <w:szCs w:val="24"/>
          <w:shd w:val="clear" w:color="auto" w:fill="FFFFFF"/>
        </w:rPr>
        <w:tab/>
        <w:t>A Corregedoria Nacional de Justiça passou a inv</w:t>
      </w:r>
      <w:r>
        <w:rPr>
          <w:sz w:val="24"/>
          <w:szCs w:val="24"/>
          <w:shd w:val="clear" w:color="auto" w:fill="FFFFFF"/>
        </w:rPr>
        <w:t xml:space="preserve">estigar o caso no ano passado, após representação da então conselheira do CNJ Luíza </w:t>
      </w:r>
      <w:proofErr w:type="spellStart"/>
      <w:r>
        <w:rPr>
          <w:sz w:val="24"/>
          <w:szCs w:val="24"/>
          <w:shd w:val="clear" w:color="auto" w:fill="FFFFFF"/>
        </w:rPr>
        <w:t>Frischeisen</w:t>
      </w:r>
      <w:proofErr w:type="spellEnd"/>
      <w:r>
        <w:rPr>
          <w:sz w:val="24"/>
          <w:szCs w:val="24"/>
          <w:shd w:val="clear" w:color="auto" w:fill="FFFFFF"/>
        </w:rPr>
        <w:t>, representante do Ministério Público no órgão entre novembro de 2013 e novembro de 2015.</w:t>
      </w:r>
    </w:p>
    <w:p w:rsidR="0027173D" w:rsidRDefault="00D05D81">
      <w:pPr>
        <w:pStyle w:val="Padro"/>
        <w:spacing w:line="100" w:lineRule="atLeast"/>
        <w:jc w:val="both"/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A hoje </w:t>
      </w:r>
      <w:proofErr w:type="spellStart"/>
      <w:r>
        <w:rPr>
          <w:sz w:val="24"/>
          <w:szCs w:val="24"/>
        </w:rPr>
        <w:t>ex-conselheira</w:t>
      </w:r>
      <w:proofErr w:type="spellEnd"/>
      <w:r>
        <w:rPr>
          <w:sz w:val="24"/>
          <w:szCs w:val="24"/>
        </w:rPr>
        <w:t xml:space="preserve"> questionou se de fato houve interesse adminis</w:t>
      </w:r>
      <w:r>
        <w:rPr>
          <w:sz w:val="24"/>
          <w:szCs w:val="24"/>
        </w:rPr>
        <w:t xml:space="preserve">trativo do TRE-DF — o que é uma exigência legal — na redistribuição do cargo de Pedro Ivo, já que o servidor ficou menos de cinco dias na corte eleitoral, sendo de pronto cedido ao </w:t>
      </w:r>
      <w:proofErr w:type="spellStart"/>
      <w:r>
        <w:rPr>
          <w:sz w:val="24"/>
          <w:szCs w:val="24"/>
        </w:rPr>
        <w:t>tribunalonde</w:t>
      </w:r>
      <w:proofErr w:type="spellEnd"/>
      <w:r>
        <w:rPr>
          <w:sz w:val="24"/>
          <w:szCs w:val="24"/>
        </w:rPr>
        <w:t xml:space="preserve"> seu pai é desembargador.</w:t>
      </w:r>
    </w:p>
    <w:p w:rsidR="0027173D" w:rsidRDefault="00D05D81">
      <w:pPr>
        <w:pStyle w:val="NormalWeb"/>
        <w:shd w:val="clear" w:color="auto" w:fill="FFFFFF"/>
        <w:jc w:val="both"/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  <w:t>O julgamento no CNJ será feito vi</w:t>
      </w:r>
      <w:r>
        <w:rPr>
          <w:rFonts w:ascii="Arial" w:hAnsi="Arial" w:cs="Arial"/>
        </w:rPr>
        <w:t xml:space="preserve">rtualmente e pode durar uma semana. Os15 conselheiros vão apreciar o voto da corregedora nacional de Justiça, ministra Nancy </w:t>
      </w:r>
      <w:proofErr w:type="spellStart"/>
      <w:r>
        <w:rPr>
          <w:rFonts w:ascii="Arial" w:hAnsi="Arial" w:cs="Arial"/>
        </w:rPr>
        <w:t>Andrighi</w:t>
      </w:r>
      <w:proofErr w:type="spellEnd"/>
      <w:r>
        <w:rPr>
          <w:rFonts w:ascii="Arial" w:hAnsi="Arial" w:cs="Arial"/>
        </w:rPr>
        <w:t xml:space="preserve">. Anulação do ato Segundo apurou </w:t>
      </w:r>
      <w:proofErr w:type="gramStart"/>
      <w:r>
        <w:rPr>
          <w:rFonts w:ascii="Arial" w:hAnsi="Arial" w:cs="Arial"/>
        </w:rPr>
        <w:t>o Metrópoles</w:t>
      </w:r>
      <w:proofErr w:type="gramEnd"/>
      <w:r>
        <w:rPr>
          <w:rFonts w:ascii="Arial" w:hAnsi="Arial" w:cs="Arial"/>
        </w:rPr>
        <w:t>, a tendência é que a Corregedoria peça a anulação do ato que possibilitou a t</w:t>
      </w:r>
      <w:r>
        <w:rPr>
          <w:rFonts w:ascii="Arial" w:hAnsi="Arial" w:cs="Arial"/>
        </w:rPr>
        <w:t>ransferência de Pedro Ivo do TRE-AM para o TRE-DF. Também há a expectativa de que o desembargador</w:t>
      </w:r>
      <w:r>
        <w:rPr>
          <w:rStyle w:val="apple-converted-space"/>
          <w:rFonts w:ascii="Arial" w:hAnsi="Arial" w:cs="Arial"/>
        </w:rPr>
        <w:t xml:space="preserve"> </w:t>
      </w:r>
      <w:hyperlink r:id="rId6">
        <w:r>
          <w:rPr>
            <w:rStyle w:val="LinkdaInternet"/>
            <w:rFonts w:ascii="Arial" w:hAnsi="Arial" w:cs="Arial"/>
            <w:color w:val="00000A"/>
          </w:rPr>
          <w:t>Mário Machado</w:t>
        </w:r>
      </w:hyperlink>
      <w:r>
        <w:rPr>
          <w:rFonts w:ascii="Arial" w:hAnsi="Arial" w:cs="Arial"/>
        </w:rPr>
        <w:t>, e</w:t>
      </w:r>
      <w:r>
        <w:rPr>
          <w:rFonts w:ascii="Arial" w:hAnsi="Arial" w:cs="Arial"/>
        </w:rPr>
        <w:t>x-presidente do TRE-DF e presidente eleito do TJDFT, seja investigado por sua atuação no caso, já que assinou os atos de redistribuição e cessão de Pedro Ivo.</w:t>
      </w:r>
    </w:p>
    <w:p w:rsidR="0027173D" w:rsidRDefault="00D05D81">
      <w:pPr>
        <w:pStyle w:val="NormalWeb"/>
        <w:shd w:val="clear" w:color="auto" w:fill="FFFFFF"/>
        <w:jc w:val="both"/>
      </w:pPr>
      <w:r>
        <w:rPr>
          <w:rFonts w:ascii="Arial" w:hAnsi="Arial" w:cs="Arial"/>
          <w:u w:val="single"/>
        </w:rPr>
        <w:t>Redistribuição</w:t>
      </w:r>
    </w:p>
    <w:p w:rsidR="0027173D" w:rsidRDefault="00D05D81">
      <w:pPr>
        <w:pStyle w:val="NormalWeb"/>
        <w:shd w:val="clear" w:color="auto" w:fill="FFFFFF"/>
        <w:jc w:val="both"/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No processo de redistribuição, o desembargador Mário Machado avisou à Justiça </w:t>
      </w:r>
      <w:r>
        <w:rPr>
          <w:rFonts w:ascii="Arial" w:hAnsi="Arial" w:cs="Arial"/>
        </w:rPr>
        <w:t>Eleitoral do Amazonas a existência de uma vaga do TRF-DF que ficou disponível por quatro meses e que poderia ter sido preenchida por uma das listas de aprovados em concursos públicos realizados no DF.</w:t>
      </w:r>
    </w:p>
    <w:p w:rsidR="0027173D" w:rsidRDefault="00D05D81">
      <w:pPr>
        <w:pStyle w:val="NormalWeb"/>
        <w:shd w:val="clear" w:color="auto" w:fill="FFFFFF"/>
        <w:jc w:val="both"/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  <w:t>Pedro Ivo, no entanto,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pouco figurou os quadros da</w:t>
      </w:r>
      <w:r>
        <w:rPr>
          <w:rFonts w:ascii="Arial" w:hAnsi="Arial" w:cs="Arial"/>
        </w:rPr>
        <w:t xml:space="preserve"> corte eleitoral. Em 16 de abril de 2014, o então presidente do TJDFT, </w:t>
      </w:r>
      <w:proofErr w:type="spellStart"/>
      <w:r>
        <w:rPr>
          <w:rFonts w:ascii="Arial" w:hAnsi="Arial" w:cs="Arial"/>
        </w:rPr>
        <w:t>Dácio</w:t>
      </w:r>
      <w:proofErr w:type="spellEnd"/>
      <w:r>
        <w:rPr>
          <w:rFonts w:ascii="Arial" w:hAnsi="Arial" w:cs="Arial"/>
        </w:rPr>
        <w:t xml:space="preserve"> Vieira, requisitou o servidor, que havia sido redistribuído com base no interesse da administração ao TRE-DF, para trabalhar no TJDFT. Foi cedido de pronto por Mário Machado, que </w:t>
      </w:r>
      <w:r>
        <w:rPr>
          <w:rFonts w:ascii="Arial" w:hAnsi="Arial" w:cs="Arial"/>
        </w:rPr>
        <w:t>havia assinado sua transferência. Ao ser acionado pela reportagem, o TJDFT disse que não comentaria o caso.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 xml:space="preserve">       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b/>
          <w:sz w:val="32"/>
          <w:szCs w:val="32"/>
        </w:rPr>
        <w:t>A</w:t>
      </w:r>
      <w:proofErr w:type="gramStart"/>
      <w:r>
        <w:rPr>
          <w:rFonts w:eastAsia="Times New Roman"/>
          <w:b/>
          <w:sz w:val="32"/>
          <w:szCs w:val="32"/>
        </w:rPr>
        <w:t xml:space="preserve">  </w:t>
      </w:r>
      <w:proofErr w:type="gramEnd"/>
      <w:r>
        <w:rPr>
          <w:rFonts w:eastAsia="Times New Roman"/>
          <w:b/>
          <w:sz w:val="32"/>
          <w:szCs w:val="32"/>
        </w:rPr>
        <w:t>realidade e a proposta de ação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lastRenderedPageBreak/>
        <w:t>26.</w:t>
      </w:r>
      <w:r>
        <w:rPr>
          <w:rFonts w:eastAsia="Times New Roman"/>
          <w:sz w:val="24"/>
          <w:szCs w:val="24"/>
        </w:rPr>
        <w:tab/>
        <w:t xml:space="preserve"> Pelo que se </w:t>
      </w:r>
      <w:proofErr w:type="gramStart"/>
      <w:r>
        <w:rPr>
          <w:rFonts w:eastAsia="Times New Roman"/>
          <w:sz w:val="24"/>
          <w:szCs w:val="24"/>
        </w:rPr>
        <w:t>vê,</w:t>
      </w:r>
      <w:proofErr w:type="gramEnd"/>
      <w:r>
        <w:rPr>
          <w:rFonts w:eastAsia="Times New Roman"/>
          <w:sz w:val="24"/>
          <w:szCs w:val="24"/>
        </w:rPr>
        <w:t xml:space="preserve"> o nepotismo virou uma instituição e a existência da legislação, por si só, não é cap</w:t>
      </w:r>
      <w:r>
        <w:rPr>
          <w:rFonts w:eastAsia="Times New Roman"/>
          <w:sz w:val="24"/>
          <w:szCs w:val="24"/>
        </w:rPr>
        <w:t>az de evitar a prática de tal ato de improbidade, uma vez que, o próprio MPU, como fiscal da lei , não se interessa e nem tem vontade de combatê-la. As consequências desses atos, no entanto, são os mais perversos possíveis para a sociedade, pois redundam e</w:t>
      </w:r>
      <w:r>
        <w:rPr>
          <w:rFonts w:eastAsia="Times New Roman"/>
          <w:sz w:val="24"/>
          <w:szCs w:val="24"/>
        </w:rPr>
        <w:t>m corrupção, tráfico de influencia, fisiologismo, troca de favores, enriquecimento ilícito,</w:t>
      </w:r>
      <w:proofErr w:type="gramStart"/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 xml:space="preserve">enfraquecimento do instituto do concurso público, desmotivação no serviço público. Precisamos eliminar esse câncer da esfera pública.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 xml:space="preserve">   </w:t>
      </w:r>
    </w:p>
    <w:p w:rsidR="0027173D" w:rsidRDefault="00D05D81">
      <w:pPr>
        <w:pStyle w:val="Padro"/>
        <w:spacing w:line="100" w:lineRule="atLeast"/>
        <w:ind w:firstLine="15"/>
        <w:jc w:val="both"/>
      </w:pPr>
      <w:r>
        <w:rPr>
          <w:rFonts w:eastAsia="Times New Roman"/>
          <w:b/>
          <w:sz w:val="32"/>
          <w:szCs w:val="32"/>
        </w:rPr>
        <w:t>Conclusões</w:t>
      </w:r>
    </w:p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27.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Denunciar o nepotismo ao CNMP;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28.</w:t>
      </w:r>
      <w:r>
        <w:rPr>
          <w:rFonts w:eastAsia="Times New Roman"/>
          <w:sz w:val="24"/>
          <w:szCs w:val="24"/>
        </w:rPr>
        <w:tab/>
        <w:t xml:space="preserve">Participar de toda campanha nacional contra o nepotismo;     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29</w:t>
      </w:r>
      <w:r>
        <w:rPr>
          <w:rFonts w:eastAsia="Times New Roman"/>
          <w:sz w:val="24"/>
          <w:szCs w:val="24"/>
        </w:rPr>
        <w:tab/>
        <w:t>Criar uma ouvidoria na FENAJUFE para acolher denúncias de nepotismo.</w:t>
      </w:r>
    </w:p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b/>
          <w:sz w:val="32"/>
          <w:szCs w:val="32"/>
        </w:rPr>
        <w:t>REFERÊNCIAS BIBLIOGRÁFICAS</w:t>
      </w:r>
    </w:p>
    <w:p w:rsidR="0027173D" w:rsidRDefault="00D05D81">
      <w:pPr>
        <w:pStyle w:val="Padro"/>
        <w:spacing w:line="100" w:lineRule="atLeast"/>
        <w:ind w:left="360"/>
        <w:jc w:val="both"/>
      </w:pPr>
      <w:r>
        <w:rPr>
          <w:rFonts w:eastAsia="Times New Roman"/>
          <w:sz w:val="24"/>
          <w:szCs w:val="24"/>
        </w:rPr>
        <w:t xml:space="preserve">  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 xml:space="preserve">30. 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por</w:t>
      </w:r>
      <w:proofErr w:type="gram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Leiner</w:t>
      </w:r>
      <w:proofErr w:type="spellEnd"/>
      <w:r>
        <w:rPr>
          <w:rFonts w:eastAsia="Times New Roman"/>
          <w:sz w:val="24"/>
          <w:szCs w:val="24"/>
        </w:rPr>
        <w:t xml:space="preserve"> Marchetti Pereira, advogado, sócio da</w:t>
      </w:r>
      <w:r>
        <w:rPr>
          <w:rFonts w:eastAsia="Times New Roman"/>
          <w:sz w:val="24"/>
          <w:szCs w:val="24"/>
        </w:rPr>
        <w:t xml:space="preserve"> MP&amp;T Advogados Associados – Consultoria e Assessoria  </w:t>
      </w:r>
    </w:p>
    <w:p w:rsidR="0027173D" w:rsidRDefault="00D05D81">
      <w:pPr>
        <w:pStyle w:val="Padro"/>
        <w:spacing w:line="100" w:lineRule="atLeast"/>
        <w:jc w:val="both"/>
      </w:pPr>
      <w:r>
        <w:rPr>
          <w:rFonts w:eastAsia="Times New Roman"/>
          <w:sz w:val="24"/>
          <w:szCs w:val="24"/>
        </w:rPr>
        <w:t>31.</w:t>
      </w:r>
      <w:r>
        <w:rPr>
          <w:rFonts w:eastAsia="Times New Roman"/>
          <w:sz w:val="24"/>
          <w:szCs w:val="24"/>
        </w:rPr>
        <w:tab/>
        <w:t xml:space="preserve">Jornal Metrópoles – edição de março de </w:t>
      </w:r>
      <w:proofErr w:type="gramStart"/>
      <w:r>
        <w:rPr>
          <w:rFonts w:eastAsia="Times New Roman"/>
          <w:sz w:val="24"/>
          <w:szCs w:val="24"/>
        </w:rPr>
        <w:t>2016</w:t>
      </w:r>
      <w:proofErr w:type="gramEnd"/>
    </w:p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spacing w:line="100" w:lineRule="atLeast"/>
        <w:jc w:val="both"/>
      </w:pPr>
      <w:r>
        <w:rPr>
          <w:b/>
          <w:bCs/>
          <w:sz w:val="24"/>
          <w:szCs w:val="24"/>
        </w:rPr>
        <w:t xml:space="preserve">Delegados proponentes: </w:t>
      </w:r>
    </w:p>
    <w:p w:rsidR="0027173D" w:rsidRDefault="0027173D">
      <w:pPr>
        <w:pStyle w:val="Padro"/>
        <w:spacing w:line="100" w:lineRule="atLeast"/>
        <w:jc w:val="both"/>
      </w:pPr>
    </w:p>
    <w:p w:rsidR="0027173D" w:rsidRDefault="00D05D81">
      <w:pPr>
        <w:pStyle w:val="Padro"/>
        <w:spacing w:line="200" w:lineRule="atLeast"/>
        <w:ind w:right="-851"/>
        <w:jc w:val="both"/>
      </w:pPr>
      <w:proofErr w:type="spellStart"/>
      <w:r>
        <w:rPr>
          <w:b/>
          <w:sz w:val="24"/>
          <w:szCs w:val="24"/>
        </w:rPr>
        <w:t>Eldo</w:t>
      </w:r>
      <w:proofErr w:type="spellEnd"/>
      <w:r>
        <w:rPr>
          <w:b/>
          <w:sz w:val="24"/>
          <w:szCs w:val="24"/>
        </w:rPr>
        <w:t xml:space="preserve"> Luiz Pereira de Abreu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>Luiz Fernando Alves Lacerda</w:t>
      </w:r>
    </w:p>
    <w:p w:rsidR="0027173D" w:rsidRDefault="00D05D81">
      <w:pPr>
        <w:pStyle w:val="Padro"/>
        <w:spacing w:line="200" w:lineRule="atLeast"/>
        <w:ind w:right="-851"/>
        <w:jc w:val="both"/>
      </w:pPr>
      <w:proofErr w:type="spellStart"/>
      <w:r>
        <w:rPr>
          <w:b/>
          <w:sz w:val="24"/>
          <w:szCs w:val="24"/>
        </w:rPr>
        <w:t>Milca</w:t>
      </w:r>
      <w:proofErr w:type="spellEnd"/>
      <w:r>
        <w:rPr>
          <w:b/>
          <w:sz w:val="24"/>
          <w:szCs w:val="24"/>
        </w:rPr>
        <w:t xml:space="preserve"> Célia Gusmão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>Renata Moraes Rios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>Luiz Valério Rodrigues Dias</w:t>
      </w:r>
    </w:p>
    <w:p w:rsidR="0027173D" w:rsidRDefault="00D05D81">
      <w:pPr>
        <w:pStyle w:val="Padro"/>
        <w:spacing w:line="200" w:lineRule="atLeast"/>
        <w:ind w:right="-851"/>
        <w:jc w:val="both"/>
      </w:pPr>
      <w:proofErr w:type="spellStart"/>
      <w:r>
        <w:rPr>
          <w:b/>
          <w:sz w:val="24"/>
          <w:szCs w:val="24"/>
        </w:rPr>
        <w:t>Elimara</w:t>
      </w:r>
      <w:proofErr w:type="spellEnd"/>
      <w:r>
        <w:rPr>
          <w:b/>
          <w:sz w:val="24"/>
          <w:szCs w:val="24"/>
        </w:rPr>
        <w:t xml:space="preserve"> Cardoso Bernardes Gaia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 xml:space="preserve">Carolina Cavalcante </w:t>
      </w:r>
      <w:proofErr w:type="spellStart"/>
      <w:r>
        <w:rPr>
          <w:b/>
          <w:sz w:val="24"/>
          <w:szCs w:val="24"/>
        </w:rPr>
        <w:t>Lipinski</w:t>
      </w:r>
      <w:proofErr w:type="spellEnd"/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>Bruno Jorge Mota Cavalcanti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lastRenderedPageBreak/>
        <w:t xml:space="preserve">Paula </w:t>
      </w:r>
      <w:proofErr w:type="spellStart"/>
      <w:r>
        <w:rPr>
          <w:b/>
          <w:sz w:val="24"/>
          <w:szCs w:val="24"/>
        </w:rPr>
        <w:t>Drumond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Meniconi</w:t>
      </w:r>
      <w:proofErr w:type="spellEnd"/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 xml:space="preserve">Márcia Valéria Ribas </w:t>
      </w:r>
      <w:proofErr w:type="spellStart"/>
      <w:r>
        <w:rPr>
          <w:b/>
          <w:sz w:val="24"/>
          <w:szCs w:val="24"/>
        </w:rPr>
        <w:t>Pissurno</w:t>
      </w:r>
      <w:proofErr w:type="spellEnd"/>
    </w:p>
    <w:p w:rsidR="0027173D" w:rsidRDefault="00D05D81">
      <w:pPr>
        <w:pStyle w:val="Padro"/>
        <w:spacing w:line="200" w:lineRule="atLeast"/>
        <w:ind w:right="-851"/>
        <w:jc w:val="both"/>
      </w:pPr>
      <w:proofErr w:type="spellStart"/>
      <w:r>
        <w:rPr>
          <w:b/>
          <w:sz w:val="24"/>
          <w:szCs w:val="24"/>
        </w:rPr>
        <w:t>Wilmar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Carregozi</w:t>
      </w:r>
      <w:proofErr w:type="spellEnd"/>
      <w:r>
        <w:rPr>
          <w:b/>
          <w:sz w:val="24"/>
          <w:szCs w:val="24"/>
        </w:rPr>
        <w:t xml:space="preserve"> Miranda</w:t>
      </w:r>
    </w:p>
    <w:p w:rsidR="0027173D" w:rsidRDefault="00D05D81">
      <w:pPr>
        <w:pStyle w:val="Padro"/>
        <w:spacing w:line="200" w:lineRule="atLeast"/>
        <w:ind w:right="-851"/>
        <w:jc w:val="both"/>
      </w:pPr>
      <w:r>
        <w:rPr>
          <w:b/>
          <w:sz w:val="24"/>
          <w:szCs w:val="24"/>
        </w:rPr>
        <w:t xml:space="preserve">Luciana Tavares de Paula </w:t>
      </w:r>
    </w:p>
    <w:p w:rsidR="0027173D" w:rsidRDefault="0027173D">
      <w:pPr>
        <w:pStyle w:val="Padro"/>
        <w:spacing w:line="200" w:lineRule="atLeast"/>
        <w:ind w:right="-851"/>
        <w:jc w:val="both"/>
      </w:pPr>
    </w:p>
    <w:p w:rsidR="0027173D" w:rsidRDefault="0027173D">
      <w:pPr>
        <w:pStyle w:val="Padro"/>
        <w:spacing w:line="200" w:lineRule="atLeast"/>
        <w:ind w:right="-851"/>
        <w:jc w:val="both"/>
      </w:pPr>
    </w:p>
    <w:p w:rsidR="0027173D" w:rsidRDefault="0027173D">
      <w:pPr>
        <w:pStyle w:val="Padro"/>
        <w:spacing w:line="200" w:lineRule="atLeast"/>
        <w:ind w:right="-851"/>
        <w:jc w:val="both"/>
      </w:pPr>
    </w:p>
    <w:p w:rsidR="0027173D" w:rsidRDefault="0027173D">
      <w:pPr>
        <w:pStyle w:val="Padro"/>
        <w:spacing w:line="200" w:lineRule="atLeast"/>
        <w:ind w:right="-851"/>
        <w:jc w:val="both"/>
      </w:pPr>
    </w:p>
    <w:p w:rsidR="0027173D" w:rsidRDefault="0027173D">
      <w:pPr>
        <w:pStyle w:val="Padro"/>
        <w:spacing w:line="200" w:lineRule="atLeast"/>
        <w:ind w:right="-851"/>
        <w:jc w:val="both"/>
      </w:pPr>
    </w:p>
    <w:p w:rsidR="0027173D" w:rsidRDefault="0027173D">
      <w:pPr>
        <w:pStyle w:val="Padro"/>
        <w:spacing w:line="200" w:lineRule="atLeast"/>
        <w:ind w:right="-851"/>
        <w:jc w:val="both"/>
      </w:pPr>
    </w:p>
    <w:sectPr w:rsidR="0027173D">
      <w:pgSz w:w="12240" w:h="15840"/>
      <w:pgMar w:top="1417" w:right="1134" w:bottom="1417" w:left="1134" w:header="0" w:footer="0" w:gutter="0"/>
      <w:cols w:space="720"/>
      <w:formProt w:val="0"/>
      <w:docGrid w:linePitch="34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;msminch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155"/>
    <w:multiLevelType w:val="multilevel"/>
    <w:tmpl w:val="9D24D34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BE4304"/>
    <w:multiLevelType w:val="multilevel"/>
    <w:tmpl w:val="63F4EE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7EC4A3F"/>
    <w:multiLevelType w:val="multilevel"/>
    <w:tmpl w:val="163444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7332AE"/>
    <w:multiLevelType w:val="multilevel"/>
    <w:tmpl w:val="021C4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3017840"/>
    <w:multiLevelType w:val="multilevel"/>
    <w:tmpl w:val="F5600A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D9B2F68"/>
    <w:multiLevelType w:val="multilevel"/>
    <w:tmpl w:val="CCBA8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826EC0"/>
    <w:multiLevelType w:val="multilevel"/>
    <w:tmpl w:val="2AD0CC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E0D0F05"/>
    <w:multiLevelType w:val="multilevel"/>
    <w:tmpl w:val="E66C4A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3D"/>
    <w:rsid w:val="0027173D"/>
    <w:rsid w:val="00D0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keepLines/>
      <w:numPr>
        <w:numId w:val="1"/>
      </w:numPr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Padro"/>
    <w:next w:val="Corpodetexto"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i/>
      <w:iCs/>
      <w:sz w:val="36"/>
      <w:szCs w:val="36"/>
    </w:rPr>
  </w:style>
  <w:style w:type="paragraph" w:styleId="Ttulo3">
    <w:name w:val="heading 3"/>
    <w:basedOn w:val="Padro"/>
    <w:next w:val="Corpodetexto"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Padro"/>
    <w:next w:val="Corpodetexto"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Padro"/>
    <w:next w:val="Corpodetexto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  <w:sz w:val="19"/>
      <w:szCs w:val="19"/>
    </w:rPr>
  </w:style>
  <w:style w:type="paragraph" w:styleId="Ttulo6">
    <w:name w:val="heading 6"/>
    <w:basedOn w:val="Padro"/>
    <w:next w:val="Corpodetexto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Padro"/>
    <w:next w:val="Corpodetexto"/>
    <w:pPr>
      <w:numPr>
        <w:ilvl w:val="6"/>
        <w:numId w:val="1"/>
      </w:numPr>
      <w:spacing w:before="280" w:after="280"/>
      <w:outlineLvl w:val="6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20"/>
      </w:tabs>
      <w:suppressAutoHyphens/>
      <w:overflowPunct w:val="0"/>
    </w:pPr>
    <w:rPr>
      <w:rFonts w:ascii="Arial" w:eastAsia="Arial" w:hAnsi="Arial" w:cs="Arial"/>
      <w:color w:val="00000A"/>
    </w:rPr>
  </w:style>
  <w:style w:type="character" w:customStyle="1" w:styleId="nfaseforte">
    <w:name w:val="Ênfase forte"/>
    <w:basedOn w:val="Fontepargpadro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Pr>
      <w:b/>
      <w:position w:val="0"/>
      <w:sz w:val="22"/>
      <w:vertAlign w:val="baseline"/>
    </w:rPr>
  </w:style>
  <w:style w:type="character" w:customStyle="1" w:styleId="ListLabel2">
    <w:name w:val="ListLabel 2"/>
    <w:rPr>
      <w:b/>
      <w:position w:val="0"/>
      <w:sz w:val="22"/>
      <w:vertAlign w:val="baselin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Fim">
    <w:name w:val="WW- Caracteres de Nota de Fim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pPr>
      <w:keepNext/>
      <w:keepLines/>
      <w:spacing w:before="480" w:after="120"/>
      <w:jc w:val="center"/>
    </w:pPr>
    <w:rPr>
      <w:b/>
      <w:bCs/>
      <w:sz w:val="72"/>
      <w:szCs w:val="72"/>
    </w:rPr>
  </w:style>
  <w:style w:type="paragraph" w:styleId="Subttulo">
    <w:name w:val="Subtitle"/>
    <w:basedOn w:val="Padro"/>
    <w:next w:val="Corpodetexto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Web">
    <w:name w:val="Normal (Web)"/>
    <w:basedOn w:val="Padr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Normal1">
    <w:name w:val="Normal1"/>
    <w:pPr>
      <w:tabs>
        <w:tab w:val="left" w:pos="709"/>
      </w:tabs>
      <w:suppressAutoHyphens/>
      <w:overflowPunct w:val="0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Padro"/>
    <w:pPr>
      <w:suppressLineNumbers/>
      <w:tabs>
        <w:tab w:val="center" w:pos="4320"/>
        <w:tab w:val="right" w:pos="8640"/>
      </w:tabs>
    </w:pPr>
  </w:style>
  <w:style w:type="paragraph" w:customStyle="1" w:styleId="Corpodetextorecuado">
    <w:name w:val="Corpo de texto recuado"/>
    <w:basedOn w:val="Padro"/>
    <w:pPr>
      <w:spacing w:after="0"/>
      <w:ind w:left="300"/>
      <w:jc w:val="both"/>
    </w:pPr>
    <w:rPr>
      <w:color w:val="FF6600"/>
      <w:sz w:val="18"/>
      <w:szCs w:val="20"/>
    </w:rPr>
  </w:style>
  <w:style w:type="paragraph" w:customStyle="1" w:styleId="Notaderodap">
    <w:name w:val="Nota de rodapé"/>
    <w:basedOn w:val="Padro"/>
    <w:pPr>
      <w:suppressLineNumbers/>
      <w:ind w:left="339" w:hanging="339"/>
    </w:pPr>
    <w:rPr>
      <w:sz w:val="20"/>
      <w:szCs w:val="20"/>
    </w:rPr>
  </w:style>
  <w:style w:type="paragraph" w:customStyle="1" w:styleId="Corpodetexto31">
    <w:name w:val="Corpo de texto 31"/>
    <w:basedOn w:val="Padro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texto21">
    <w:name w:val="Corpo de texto 21"/>
    <w:basedOn w:val="Padro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Padro"/>
    <w:pPr>
      <w:suppressLineNumbers/>
      <w:tabs>
        <w:tab w:val="center" w:pos="4320"/>
        <w:tab w:val="right" w:pos="8640"/>
      </w:tabs>
    </w:pPr>
  </w:style>
  <w:style w:type="paragraph" w:customStyle="1" w:styleId="Ttulo10">
    <w:name w:val="Título1"/>
    <w:basedOn w:val="Padro"/>
    <w:pPr>
      <w:keepNext/>
      <w:spacing w:before="240" w:after="120"/>
    </w:pPr>
    <w:rPr>
      <w:rFonts w:eastAsia="Mincho;msmincho" w:cs="Tahoma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0">
    <w:name w:val="Título2"/>
    <w:basedOn w:val="Padro"/>
    <w:pPr>
      <w:keepNext/>
      <w:spacing w:before="240" w:after="120"/>
    </w:pPr>
    <w:rPr>
      <w:rFonts w:eastAsia="Mincho;msmincho" w:cs="Tahoma"/>
      <w:sz w:val="28"/>
      <w:szCs w:val="28"/>
    </w:rPr>
  </w:style>
  <w:style w:type="paragraph" w:customStyle="1" w:styleId="Legenda2">
    <w:name w:val="Legenda2"/>
    <w:basedOn w:val="Padro"/>
    <w:pPr>
      <w:suppressLineNumbers/>
      <w:spacing w:before="120" w:after="120"/>
    </w:pPr>
    <w:rPr>
      <w:rFonts w:cs="Tahom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keepLines/>
      <w:numPr>
        <w:numId w:val="1"/>
      </w:numPr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Padro"/>
    <w:next w:val="Corpodetexto"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i/>
      <w:iCs/>
      <w:sz w:val="36"/>
      <w:szCs w:val="36"/>
    </w:rPr>
  </w:style>
  <w:style w:type="paragraph" w:styleId="Ttulo3">
    <w:name w:val="heading 3"/>
    <w:basedOn w:val="Padro"/>
    <w:next w:val="Corpodetexto"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Padro"/>
    <w:next w:val="Corpodetexto"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Padro"/>
    <w:next w:val="Corpodetexto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  <w:sz w:val="19"/>
      <w:szCs w:val="19"/>
    </w:rPr>
  </w:style>
  <w:style w:type="paragraph" w:styleId="Ttulo6">
    <w:name w:val="heading 6"/>
    <w:basedOn w:val="Padro"/>
    <w:next w:val="Corpodetexto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Padro"/>
    <w:next w:val="Corpodetexto"/>
    <w:pPr>
      <w:numPr>
        <w:ilvl w:val="6"/>
        <w:numId w:val="1"/>
      </w:numPr>
      <w:spacing w:before="280" w:after="280"/>
      <w:outlineLvl w:val="6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20"/>
      </w:tabs>
      <w:suppressAutoHyphens/>
      <w:overflowPunct w:val="0"/>
    </w:pPr>
    <w:rPr>
      <w:rFonts w:ascii="Arial" w:eastAsia="Arial" w:hAnsi="Arial" w:cs="Arial"/>
      <w:color w:val="00000A"/>
    </w:rPr>
  </w:style>
  <w:style w:type="character" w:customStyle="1" w:styleId="nfaseforte">
    <w:name w:val="Ênfase forte"/>
    <w:basedOn w:val="Fontepargpadro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Pr>
      <w:b/>
      <w:position w:val="0"/>
      <w:sz w:val="22"/>
      <w:vertAlign w:val="baseline"/>
    </w:rPr>
  </w:style>
  <w:style w:type="character" w:customStyle="1" w:styleId="ListLabel2">
    <w:name w:val="ListLabel 2"/>
    <w:rPr>
      <w:b/>
      <w:position w:val="0"/>
      <w:sz w:val="22"/>
      <w:vertAlign w:val="baselin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Fim">
    <w:name w:val="WW- Caracteres de Nota de Fim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pPr>
      <w:keepNext/>
      <w:keepLines/>
      <w:spacing w:before="480" w:after="120"/>
      <w:jc w:val="center"/>
    </w:pPr>
    <w:rPr>
      <w:b/>
      <w:bCs/>
      <w:sz w:val="72"/>
      <w:szCs w:val="72"/>
    </w:rPr>
  </w:style>
  <w:style w:type="paragraph" w:styleId="Subttulo">
    <w:name w:val="Subtitle"/>
    <w:basedOn w:val="Padro"/>
    <w:next w:val="Corpodetexto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Web">
    <w:name w:val="Normal (Web)"/>
    <w:basedOn w:val="Padr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Normal1">
    <w:name w:val="Normal1"/>
    <w:pPr>
      <w:tabs>
        <w:tab w:val="left" w:pos="709"/>
      </w:tabs>
      <w:suppressAutoHyphens/>
      <w:overflowPunct w:val="0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Padro"/>
    <w:pPr>
      <w:suppressLineNumbers/>
      <w:tabs>
        <w:tab w:val="center" w:pos="4320"/>
        <w:tab w:val="right" w:pos="8640"/>
      </w:tabs>
    </w:pPr>
  </w:style>
  <w:style w:type="paragraph" w:customStyle="1" w:styleId="Corpodetextorecuado">
    <w:name w:val="Corpo de texto recuado"/>
    <w:basedOn w:val="Padro"/>
    <w:pPr>
      <w:spacing w:after="0"/>
      <w:ind w:left="300"/>
      <w:jc w:val="both"/>
    </w:pPr>
    <w:rPr>
      <w:color w:val="FF6600"/>
      <w:sz w:val="18"/>
      <w:szCs w:val="20"/>
    </w:rPr>
  </w:style>
  <w:style w:type="paragraph" w:customStyle="1" w:styleId="Notaderodap">
    <w:name w:val="Nota de rodapé"/>
    <w:basedOn w:val="Padro"/>
    <w:pPr>
      <w:suppressLineNumbers/>
      <w:ind w:left="339" w:hanging="339"/>
    </w:pPr>
    <w:rPr>
      <w:sz w:val="20"/>
      <w:szCs w:val="20"/>
    </w:rPr>
  </w:style>
  <w:style w:type="paragraph" w:customStyle="1" w:styleId="Corpodetexto31">
    <w:name w:val="Corpo de texto 31"/>
    <w:basedOn w:val="Padro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texto21">
    <w:name w:val="Corpo de texto 21"/>
    <w:basedOn w:val="Padro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Padro"/>
    <w:pPr>
      <w:suppressLineNumbers/>
      <w:tabs>
        <w:tab w:val="center" w:pos="4320"/>
        <w:tab w:val="right" w:pos="8640"/>
      </w:tabs>
    </w:pPr>
  </w:style>
  <w:style w:type="paragraph" w:customStyle="1" w:styleId="Ttulo10">
    <w:name w:val="Título1"/>
    <w:basedOn w:val="Padro"/>
    <w:pPr>
      <w:keepNext/>
      <w:spacing w:before="240" w:after="120"/>
    </w:pPr>
    <w:rPr>
      <w:rFonts w:eastAsia="Mincho;msmincho" w:cs="Tahoma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0">
    <w:name w:val="Título2"/>
    <w:basedOn w:val="Padro"/>
    <w:pPr>
      <w:keepNext/>
      <w:spacing w:before="240" w:after="120"/>
    </w:pPr>
    <w:rPr>
      <w:rFonts w:eastAsia="Mincho;msmincho" w:cs="Tahoma"/>
      <w:sz w:val="28"/>
      <w:szCs w:val="28"/>
    </w:rPr>
  </w:style>
  <w:style w:type="paragraph" w:customStyle="1" w:styleId="Legenda2">
    <w:name w:val="Legenda2"/>
    <w:basedOn w:val="Padro"/>
    <w:pPr>
      <w:suppressLineNumbers/>
      <w:spacing w:before="120" w:after="120"/>
    </w:pPr>
    <w:rPr>
      <w:rFonts w:cs="Tahom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jdft.jus.br/institucional/imprensa/noticias/2016/fevereiro/eleita-nova-gestao-do-tjdft-para-o-bienio-2016-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2293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Visitantes</dc:creator>
  <cp:lastModifiedBy>Imprensa Fenajufe</cp:lastModifiedBy>
  <cp:revision>2</cp:revision>
  <dcterms:created xsi:type="dcterms:W3CDTF">2016-04-09T00:28:00Z</dcterms:created>
  <dcterms:modified xsi:type="dcterms:W3CDTF">2016-04-09T00:28:00Z</dcterms:modified>
</cp:coreProperties>
</file>