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96" w:rsidRPr="004A6593" w:rsidRDefault="00BA4696" w:rsidP="00BA4696">
      <w:pPr>
        <w:pStyle w:val="NormalWeb"/>
        <w:spacing w:before="0" w:beforeAutospacing="0" w:after="0" w:afterAutospacing="0"/>
        <w:jc w:val="center"/>
        <w:rPr>
          <w:rFonts w:ascii="Arial" w:hAnsi="Arial" w:cs="Tahoma"/>
          <w:b/>
          <w:sz w:val="40"/>
          <w:szCs w:val="40"/>
        </w:rPr>
      </w:pPr>
      <w:r w:rsidRPr="004A6593">
        <w:rPr>
          <w:rFonts w:ascii="Arial" w:hAnsi="Arial" w:cs="Tahoma"/>
          <w:b/>
          <w:sz w:val="40"/>
          <w:szCs w:val="40"/>
        </w:rPr>
        <w:t>PORTE DE ARMA PARA OFICIAIS DE JUSTIÇA</w:t>
      </w:r>
      <w:r w:rsidR="00D829D6" w:rsidRPr="004A6593">
        <w:rPr>
          <w:rFonts w:ascii="Arial" w:hAnsi="Arial" w:cs="Tahoma"/>
          <w:b/>
          <w:sz w:val="40"/>
          <w:szCs w:val="40"/>
        </w:rPr>
        <w:t xml:space="preserve"> ATRAVÉS DE PROJETO DE LEI DE INICIATIVA DO SUPREMO TRIBUNAL FEDERAL</w:t>
      </w:r>
    </w:p>
    <w:p w:rsidR="00BA4696" w:rsidRPr="004A6593" w:rsidRDefault="00BA4696" w:rsidP="00BA4696">
      <w:pPr>
        <w:ind w:firstLine="720"/>
        <w:jc w:val="center"/>
        <w:rPr>
          <w:rFonts w:ascii="Arial" w:hAnsi="Arial" w:cs="Arial"/>
          <w:u w:val="single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A4696" w:rsidRPr="004A6593">
        <w:rPr>
          <w:rFonts w:ascii="Arial" w:hAnsi="Arial" w:cs="Arial"/>
        </w:rPr>
        <w:t xml:space="preserve">O exercício da atividade dos Oficiais de Justiça é de grande risco, conforme se verifica pela simples leitura de suas atribuições (cumprem mandados de busca e apreensões, reintegrações de posse, penhoras, despejos, intimações, </w:t>
      </w:r>
      <w:proofErr w:type="spellStart"/>
      <w:r w:rsidR="00BA4696" w:rsidRPr="004A6593">
        <w:rPr>
          <w:rFonts w:ascii="Arial" w:hAnsi="Arial" w:cs="Arial"/>
        </w:rPr>
        <w:t>etc</w:t>
      </w:r>
      <w:proofErr w:type="spellEnd"/>
      <w:r w:rsidR="00BA4696" w:rsidRPr="004A6593">
        <w:rPr>
          <w:rFonts w:ascii="Arial" w:hAnsi="Arial" w:cs="Arial"/>
        </w:rPr>
        <w:t>), se assemelhando inclusive, às atribuições dos policiais civis e federais. A atividade profissional de risco da categoria já é reconhecida por vários tribunais, órgãos governamentais e mesmo assim o Oficial de Justiça ainda não foi incluído no rol dos agentes autorizados a portar arma de fogo, pelos legisladores do Congresso Nacional.</w:t>
      </w:r>
    </w:p>
    <w:p w:rsidR="00BA4696" w:rsidRPr="004A6593" w:rsidRDefault="00BA4696" w:rsidP="00F74278">
      <w:pPr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A4696" w:rsidRPr="004A6593">
        <w:rPr>
          <w:rFonts w:ascii="Arial" w:hAnsi="Arial" w:cs="Arial"/>
        </w:rPr>
        <w:t xml:space="preserve">A atividade de risco da profissão de Oficial de Justiça é reconhecida inclusive pelo Ministério da Justiça através da Polícia Federal que por meio da Instrução Normativa n.º 023/2005 (que regulamenta a aquisição e porte particular de arma de arma de fogo para defesa pessoal), reconhece que os Oficiais de Justiça exercem atividade de risco. Vejamos o que diz o §2º do art. 18 da referida instrução normativa, </w:t>
      </w:r>
      <w:r w:rsidR="00BA4696" w:rsidRPr="004A6593">
        <w:rPr>
          <w:rFonts w:ascii="Arial" w:hAnsi="Arial" w:cs="Arial"/>
          <w:i/>
        </w:rPr>
        <w:t xml:space="preserve">in </w:t>
      </w:r>
      <w:proofErr w:type="spellStart"/>
      <w:r w:rsidR="00BA4696" w:rsidRPr="004A6593">
        <w:rPr>
          <w:rFonts w:ascii="Arial" w:hAnsi="Arial" w:cs="Arial"/>
          <w:i/>
        </w:rPr>
        <w:t>verbis</w:t>
      </w:r>
      <w:proofErr w:type="spellEnd"/>
      <w:r w:rsidR="00BA4696" w:rsidRPr="004A6593">
        <w:rPr>
          <w:rFonts w:ascii="Arial" w:hAnsi="Arial" w:cs="Arial"/>
        </w:rPr>
        <w:t>:</w:t>
      </w:r>
    </w:p>
    <w:p w:rsidR="00BA4696" w:rsidRPr="004A6593" w:rsidRDefault="00BA4696" w:rsidP="00F74278">
      <w:pPr>
        <w:ind w:firstLine="851"/>
        <w:jc w:val="both"/>
        <w:rPr>
          <w:rFonts w:ascii="Arial" w:hAnsi="Arial" w:cs="Arial"/>
        </w:rPr>
      </w:pPr>
    </w:p>
    <w:p w:rsidR="00BA4696" w:rsidRPr="004A6593" w:rsidRDefault="00BA4696" w:rsidP="00F74278">
      <w:pPr>
        <w:ind w:left="720"/>
        <w:jc w:val="both"/>
        <w:rPr>
          <w:rFonts w:ascii="Arial" w:hAnsi="Arial" w:cs="Arial"/>
        </w:rPr>
      </w:pPr>
      <w:r w:rsidRPr="004A6593">
        <w:rPr>
          <w:rFonts w:ascii="Arial" w:hAnsi="Arial" w:cs="Arial"/>
        </w:rPr>
        <w:t xml:space="preserve">“§ 2o. São consideradas atividade profissional de risco, nos termos do inciso I do § 1o. do art. 10 da Lei 10.826 de 2003, além de outras, a critério da autoridade concedente, aquelas realizadas por: </w:t>
      </w:r>
      <w:r w:rsidRPr="004A6593">
        <w:rPr>
          <w:rFonts w:ascii="Arial" w:hAnsi="Arial" w:cs="Arial"/>
          <w:u w:val="single"/>
        </w:rPr>
        <w:t xml:space="preserve">I – servidor público que exerça cargo efetivo ou comissionado nas áreas de segurança, fiscalização, auditoria </w:t>
      </w:r>
      <w:r w:rsidRPr="004A6593">
        <w:rPr>
          <w:rFonts w:ascii="Arial" w:hAnsi="Arial" w:cs="Arial"/>
          <w:b/>
          <w:u w:val="single"/>
        </w:rPr>
        <w:t>ou execução de ordens judiciais</w:t>
      </w:r>
      <w:r w:rsidRPr="004A6593">
        <w:rPr>
          <w:rFonts w:ascii="Arial" w:hAnsi="Arial" w:cs="Arial"/>
        </w:rPr>
        <w:t>;” (grifamos).</w:t>
      </w:r>
    </w:p>
    <w:p w:rsidR="00BA4696" w:rsidRPr="004A6593" w:rsidRDefault="00BA4696" w:rsidP="00F74278">
      <w:pPr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A4696" w:rsidRPr="004A6593">
        <w:rPr>
          <w:rFonts w:ascii="Arial" w:hAnsi="Arial" w:cs="Arial"/>
        </w:rPr>
        <w:t xml:space="preserve">Também o Egrégio Conselho da Justiça Federal, ao apreciar o Processo nº 8.661/85-RS, na Sessão de 10 de setembro de 1985, decidiu, por unanimidade, que os Oficiais de Justiça exercem atividade de risco, quando em exercício de suas atribuições, </w:t>
      </w:r>
      <w:r w:rsidR="00BA4696" w:rsidRPr="004A6593">
        <w:rPr>
          <w:rFonts w:ascii="Arial" w:hAnsi="Arial" w:cs="Arial"/>
          <w:i/>
          <w:iCs/>
        </w:rPr>
        <w:t xml:space="preserve">in </w:t>
      </w:r>
      <w:proofErr w:type="spellStart"/>
      <w:proofErr w:type="gramStart"/>
      <w:r w:rsidR="00BA4696" w:rsidRPr="004A6593">
        <w:rPr>
          <w:rFonts w:ascii="Arial" w:hAnsi="Arial" w:cs="Arial"/>
          <w:i/>
          <w:iCs/>
        </w:rPr>
        <w:t>verbis</w:t>
      </w:r>
      <w:proofErr w:type="spellEnd"/>
      <w:r w:rsidR="00BA4696" w:rsidRPr="004A6593">
        <w:rPr>
          <w:rFonts w:ascii="Arial" w:hAnsi="Arial" w:cs="Arial"/>
          <w:i/>
          <w:iCs/>
        </w:rPr>
        <w:t xml:space="preserve"> </w:t>
      </w:r>
      <w:r w:rsidR="00BA4696" w:rsidRPr="004A6593">
        <w:rPr>
          <w:rFonts w:ascii="Arial" w:hAnsi="Arial" w:cs="Arial"/>
        </w:rPr>
        <w:t>:</w:t>
      </w:r>
      <w:proofErr w:type="gramEnd"/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BA4696" w:rsidP="00F7427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4A6593">
        <w:rPr>
          <w:rFonts w:ascii="Arial" w:hAnsi="Arial" w:cs="Arial"/>
        </w:rPr>
        <w:t xml:space="preserve">“O Conselho, por unanimidade de votos, aprovou o parecer do Diretor-Geral da Secretaria, deliberando que se </w:t>
      </w:r>
      <w:proofErr w:type="gramStart"/>
      <w:r w:rsidRPr="004A6593">
        <w:rPr>
          <w:rFonts w:ascii="Arial" w:hAnsi="Arial" w:cs="Arial"/>
        </w:rPr>
        <w:t>procedam</w:t>
      </w:r>
      <w:proofErr w:type="gramEnd"/>
      <w:r w:rsidRPr="004A6593">
        <w:rPr>
          <w:rFonts w:ascii="Arial" w:hAnsi="Arial" w:cs="Arial"/>
        </w:rPr>
        <w:t xml:space="preserve"> estudos para elaboração de um anteprojeto de lei, a ser examinado e proposto pelo Conselho, regulando a concessão de uma gratificação pelo risco de vida (CJF – Processo nº 8.661/85-RS - Rel. Ministro Sebastião Reis – </w:t>
      </w:r>
      <w:proofErr w:type="spellStart"/>
      <w:r w:rsidRPr="004A6593">
        <w:rPr>
          <w:rFonts w:ascii="Arial" w:hAnsi="Arial" w:cs="Arial"/>
        </w:rPr>
        <w:t>v.u.</w:t>
      </w:r>
      <w:proofErr w:type="spellEnd"/>
      <w:r w:rsidRPr="004A6593">
        <w:rPr>
          <w:rFonts w:ascii="Arial" w:hAnsi="Arial" w:cs="Arial"/>
        </w:rPr>
        <w:t xml:space="preserve"> – DJ: 10/09/1985)”.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A4696" w:rsidRPr="004A6593">
        <w:rPr>
          <w:rFonts w:ascii="Arial" w:hAnsi="Arial" w:cs="Arial"/>
        </w:rPr>
        <w:t xml:space="preserve">Nesse sentido, convém transcrever excerto da decisão da Excelentíssima Senhora Ministra Cármen Lúcia do Supremo Tribunal Federal, no julgamento do Mandado de Injunção nº </w:t>
      </w:r>
      <w:smartTag w:uri="urn:schemas-microsoft-com:office:smarttags" w:element="metricconverter">
        <w:smartTagPr>
          <w:attr w:name="ProductID" w:val="914, a"/>
        </w:smartTagPr>
        <w:r w:rsidR="00BA4696" w:rsidRPr="004A6593">
          <w:rPr>
            <w:rFonts w:ascii="Arial" w:hAnsi="Arial" w:cs="Arial"/>
          </w:rPr>
          <w:t>914, a</w:t>
        </w:r>
      </w:smartTag>
      <w:r w:rsidR="00BA4696" w:rsidRPr="004A6593">
        <w:rPr>
          <w:rFonts w:ascii="Arial" w:hAnsi="Arial" w:cs="Arial"/>
        </w:rPr>
        <w:t xml:space="preserve"> saber: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BA4696" w:rsidP="00F7427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4A6593">
        <w:rPr>
          <w:rFonts w:ascii="Arial" w:hAnsi="Arial" w:cs="Arial"/>
        </w:rPr>
        <w:t>“</w:t>
      </w:r>
      <w:r w:rsidRPr="004A6593">
        <w:rPr>
          <w:rFonts w:ascii="Arial" w:hAnsi="Arial" w:cs="Arial"/>
          <w:b/>
        </w:rPr>
        <w:t>A circunstância especial de exercício de atividade de risco pelos Oficiais de Justiça Avaliadores parece diferenciar-se de situação em que o desempenho de funções públicas não está sujeito a esse fator</w:t>
      </w:r>
      <w:r w:rsidRPr="004A6593">
        <w:rPr>
          <w:rFonts w:ascii="Arial" w:hAnsi="Arial" w:cs="Arial"/>
        </w:rPr>
        <w:t xml:space="preserve">. Daí a necessidade de se adotar critérios diferenciados na definição de sua aposentadoria, visando </w:t>
      </w:r>
      <w:proofErr w:type="gramStart"/>
      <w:r w:rsidRPr="004A6593">
        <w:rPr>
          <w:rFonts w:ascii="Arial" w:hAnsi="Arial" w:cs="Arial"/>
        </w:rPr>
        <w:t>a</w:t>
      </w:r>
      <w:proofErr w:type="gramEnd"/>
      <w:r w:rsidRPr="004A6593">
        <w:rPr>
          <w:rFonts w:ascii="Arial" w:hAnsi="Arial" w:cs="Arial"/>
        </w:rPr>
        <w:t xml:space="preserve"> plena eficácia do princípio da isonomia (STF – Mandado de Injunção nº 914 – Min. Cármen Lúcia - Decisão de 17/04/2009 - DJE nº 77, divulgado em 27/04/2009).”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BA4696" w:rsidRPr="004A6593">
        <w:rPr>
          <w:rFonts w:ascii="Arial" w:hAnsi="Arial" w:cs="Arial"/>
        </w:rPr>
        <w:t>Da Justificação do Projeto de Lei n° 5.845/2005, de iniciativa do Supremo Tribunal Federal, que originou a Lei 11.416, de 2006, o risco envolvido nas atividades dos Oficiais de Justiça (executantes de ordens judiciais) é destacado, referindo-se aos artigos 17 e 18, depois vigentes sob os números 16 e 17: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BA4696" w:rsidP="00F7427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4A6593">
        <w:rPr>
          <w:rFonts w:ascii="Arial" w:hAnsi="Arial" w:cs="Arial"/>
          <w:b/>
          <w:bCs/>
        </w:rPr>
        <w:t xml:space="preserve">“Em virtude dos mais diversos riscos inerentes ao exercício de atividades externas, foram instituídas pelos artigos 17 e 18 as gratificações de Atividade Externa – GAE </w:t>
      </w:r>
      <w:r w:rsidRPr="004A6593">
        <w:rPr>
          <w:rFonts w:ascii="Arial" w:hAnsi="Arial" w:cs="Arial"/>
        </w:rPr>
        <w:t xml:space="preserve">e de Atividade de Segurança – GAS. </w:t>
      </w:r>
      <w:r w:rsidRPr="004A6593">
        <w:rPr>
          <w:rFonts w:ascii="Arial" w:hAnsi="Arial" w:cs="Arial"/>
          <w:b/>
          <w:bCs/>
        </w:rPr>
        <w:t xml:space="preserve">A primeira é devida exclusivamente aos ocupantes do cargo de Analista Judiciário – área judiciária cujas atribuições estejam relacionadas com a execução de mandados e atos processuais. </w:t>
      </w:r>
      <w:r w:rsidRPr="004A6593">
        <w:rPr>
          <w:rFonts w:ascii="Arial" w:hAnsi="Arial" w:cs="Arial"/>
        </w:rPr>
        <w:t>A segunda, exclusivamente aos ocupantes do cargo de Analista Judiciário e de Técnico Judiciário cujas atribuições estejam relacionadas às funções de segurança.”</w:t>
      </w:r>
    </w:p>
    <w:p w:rsidR="00BA4696" w:rsidRPr="004A6593" w:rsidRDefault="00BA4696" w:rsidP="00F74278">
      <w:pPr>
        <w:pStyle w:val="ecxmsonormal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BA4696" w:rsidRPr="004A6593">
        <w:rPr>
          <w:rFonts w:ascii="Arial" w:hAnsi="Arial" w:cs="Arial"/>
        </w:rPr>
        <w:t>O atual texto da Lei n.º 10.826/03 proibiu o porte de arma de fogo em todo o País, ressalvando os casos previstos em legislação própria (Judiciário ou Ministério Público) e no art. 6º do próprio estatuto.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BA4696" w:rsidRPr="004A6593">
        <w:rPr>
          <w:rFonts w:ascii="Arial" w:hAnsi="Arial" w:cs="Arial"/>
        </w:rPr>
        <w:t xml:space="preserve">Entretanto, conforme já mencionado, não vislumbrou o porte de arma para os Oficiais de Justiça do Poder Judiciário, o que foi um equívoco, porque esse servidor atua na seara cível e criminal, exercendo também um papel relevante na segurança pública. Com efeito, é sabido que o Oficial de justiça é o servidor responsável por cumprir </w:t>
      </w:r>
      <w:proofErr w:type="gramStart"/>
      <w:r w:rsidR="00BA4696" w:rsidRPr="004A6593">
        <w:rPr>
          <w:rFonts w:ascii="Arial" w:hAnsi="Arial" w:cs="Arial"/>
        </w:rPr>
        <w:t>as ordens judiciais emanadas do Juízo a qual se encontra vinculado, nos casos em que for necessário contato com o público externo</w:t>
      </w:r>
      <w:proofErr w:type="gramEnd"/>
      <w:r w:rsidR="00BA4696" w:rsidRPr="004A6593">
        <w:rPr>
          <w:rFonts w:ascii="Arial" w:hAnsi="Arial" w:cs="Arial"/>
        </w:rPr>
        <w:t xml:space="preserve">. O Oficial de justiça é considerado </w:t>
      </w:r>
      <w:proofErr w:type="gramStart"/>
      <w:r w:rsidR="00BA4696" w:rsidRPr="004A6593">
        <w:rPr>
          <w:rFonts w:ascii="Arial" w:hAnsi="Arial" w:cs="Arial"/>
        </w:rPr>
        <w:t xml:space="preserve">um </w:t>
      </w:r>
      <w:r w:rsidR="00BA4696" w:rsidRPr="004A6593">
        <w:rPr>
          <w:rFonts w:ascii="Arial" w:hAnsi="Arial" w:cs="Arial"/>
          <w:i/>
          <w:iCs/>
        </w:rPr>
        <w:t>longa</w:t>
      </w:r>
      <w:proofErr w:type="gramEnd"/>
      <w:r w:rsidR="00BA4696" w:rsidRPr="004A6593">
        <w:rPr>
          <w:rFonts w:ascii="Arial" w:hAnsi="Arial" w:cs="Arial"/>
          <w:i/>
          <w:iCs/>
        </w:rPr>
        <w:t xml:space="preserve"> </w:t>
      </w:r>
      <w:proofErr w:type="spellStart"/>
      <w:r w:rsidR="00BA4696" w:rsidRPr="004A6593">
        <w:rPr>
          <w:rFonts w:ascii="Arial" w:hAnsi="Arial" w:cs="Arial"/>
          <w:i/>
          <w:iCs/>
        </w:rPr>
        <w:t>manus</w:t>
      </w:r>
      <w:proofErr w:type="spellEnd"/>
      <w:r w:rsidR="00BA4696" w:rsidRPr="004A6593">
        <w:rPr>
          <w:rFonts w:ascii="Arial" w:hAnsi="Arial" w:cs="Arial"/>
          <w:i/>
          <w:iCs/>
        </w:rPr>
        <w:t xml:space="preserve"> </w:t>
      </w:r>
      <w:r w:rsidR="00BA4696" w:rsidRPr="004A6593">
        <w:rPr>
          <w:rFonts w:ascii="Arial" w:hAnsi="Arial" w:cs="Arial"/>
        </w:rPr>
        <w:t>do juízo</w:t>
      </w:r>
      <w:r w:rsidR="00BA4696" w:rsidRPr="004A6593">
        <w:rPr>
          <w:rFonts w:ascii="Arial" w:hAnsi="Arial" w:cs="Arial"/>
          <w:i/>
          <w:iCs/>
        </w:rPr>
        <w:t xml:space="preserve">, </w:t>
      </w:r>
      <w:r w:rsidR="00BA4696" w:rsidRPr="004A6593">
        <w:rPr>
          <w:rFonts w:ascii="Arial" w:hAnsi="Arial" w:cs="Arial"/>
        </w:rPr>
        <w:t>já que o representa no cumprimento da ordem judicial.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BA4696" w:rsidRPr="004A6593">
        <w:rPr>
          <w:rFonts w:ascii="Arial" w:hAnsi="Arial" w:cs="Arial"/>
        </w:rPr>
        <w:t>Por ordem do juiz, e, em conseqüência, dever funcional, o Oficial de justiça é responsável por praticar atos invasivos na esfera de terceiro, seja pessoal (cumprir uma ordem de prisão penal ou civil) ou real (atos constritivos do patrimônio, tais como penhoras, buscas e apreensões de bens, reintegrações de posse, entre outros).</w:t>
      </w:r>
      <w:r>
        <w:rPr>
          <w:rFonts w:ascii="Arial" w:hAnsi="Arial" w:cs="Arial"/>
        </w:rPr>
        <w:t xml:space="preserve"> </w:t>
      </w:r>
      <w:r w:rsidR="00BA4696" w:rsidRPr="004A6593">
        <w:rPr>
          <w:rFonts w:ascii="Arial" w:hAnsi="Arial" w:cs="Arial"/>
        </w:rPr>
        <w:t>Neste diapasão, o Oficial é obrigado a se relacionar institucionalmente com pessoas, muito das quais nem conhece e, encontra-se sujeito a uma reação inesperada de terceiro. Inesperada e imprevisível porque o Oficial de Justiça nunca sabe como será a reação.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BA4696" w:rsidRPr="004A6593">
        <w:rPr>
          <w:rFonts w:ascii="Arial" w:hAnsi="Arial" w:cs="Arial"/>
        </w:rPr>
        <w:t>Mesmo na esfera cível, é sabido que o Oficial de justiça está exposto a diversos riscos, seja no cumprimento de uma ordem de prisão civil, de penhora de algum valor e até mesmo diante da reação desproporcional diante de um terceiro, ainda que, no momento, esteja acompanhado de força policial.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10. </w:t>
      </w:r>
      <w:r w:rsidR="00BA4696" w:rsidRPr="004A6593">
        <w:rPr>
          <w:rFonts w:ascii="Arial" w:hAnsi="Arial" w:cs="Arial"/>
        </w:rPr>
        <w:t xml:space="preserve">É fato notório a carência de pessoal da polícia militar e civil em todo o país para o exercício de suas atividades fim, não sendo razoável que, para todo mandado judicial a ser cumprido em local perigoso, desloque-se uma viatura para acompanhar o Oficial de Justiça, mesmo porque isso se mostra impossível já que somente no âmbito do Tribunal de Justiça do Distrito Federal foram expedidos </w:t>
      </w:r>
      <w:r w:rsidR="00BA4696" w:rsidRPr="004A6593">
        <w:rPr>
          <w:rFonts w:ascii="Arial" w:hAnsi="Arial" w:cs="Arial"/>
          <w:b/>
        </w:rPr>
        <w:t>mais de 60 mil mandados somente no mês de maio/2015.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proofErr w:type="gramStart"/>
      <w:r w:rsidR="00BA4696" w:rsidRPr="004A6593">
        <w:rPr>
          <w:rFonts w:ascii="Arial" w:hAnsi="Arial" w:cs="Arial"/>
        </w:rPr>
        <w:t>Além disso</w:t>
      </w:r>
      <w:proofErr w:type="gramEnd"/>
      <w:r w:rsidR="00BA4696" w:rsidRPr="004A6593">
        <w:rPr>
          <w:rFonts w:ascii="Arial" w:hAnsi="Arial" w:cs="Arial"/>
        </w:rPr>
        <w:t xml:space="preserve"> o risco a que os Oficiais de Justiça estão sujeitos não é somente quando estão cumprindo ordens judiciais, podendo ser até maior nos horários e dias de folga, conforme relatório “Crimes cometidos Contra Oficiais de </w:t>
      </w:r>
      <w:r w:rsidR="00BA4696" w:rsidRPr="004A6593">
        <w:rPr>
          <w:rFonts w:ascii="Arial" w:hAnsi="Arial" w:cs="Arial"/>
        </w:rPr>
        <w:lastRenderedPageBreak/>
        <w:t xml:space="preserve">Justiça Durante o Cumprimento de Ordens Judiciais” elaborado pela Associação dos Oficiais de Justiça Avaliadores Federais do Estado de Goiás – ASSOJAF/GO (disponível em </w:t>
      </w:r>
      <w:hyperlink r:id="rId5" w:history="1">
        <w:r w:rsidR="00BA4696" w:rsidRPr="004A6593">
          <w:rPr>
            <w:rStyle w:val="Hyperlink"/>
            <w:rFonts w:ascii="Arial" w:hAnsi="Arial" w:cs="Arial"/>
          </w:rPr>
          <w:t>http://assojafgo.org.br/wp-content/uploads/2015/03/relatorio-crimes-contra-Oficiais-justica-mar2015.pdf - acesso em 10/11/2015 às 22:00</w:t>
        </w:r>
      </w:hyperlink>
      <w:r w:rsidR="00BA4696" w:rsidRPr="004A6593">
        <w:rPr>
          <w:rFonts w:ascii="Arial" w:hAnsi="Arial" w:cs="Arial"/>
        </w:rPr>
        <w:t xml:space="preserve"> h), vários crimes cometidos contra os Oficiais de Justiça são praticados durante o horário de folga, mas em razão da função. Ora, se o risco cessasse após o cumprimento de suas atribuições, os demais agentes estatais (policiais, agentes penitenciários, etc.) não teriam o porte fora de serviço.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BA4696" w:rsidRPr="004A6593">
        <w:rPr>
          <w:rFonts w:ascii="Arial" w:hAnsi="Arial" w:cs="Arial"/>
        </w:rPr>
        <w:t>Como não tem porte de arma para defesa pessoal, os Oficiais de Justiça ficam sujeitos a vingança e represália de bandidos ou pessoas revoltadas e que tenham sido atingidas pelo cumprimento de mandados judiciais, podendo inclusive causar maior morosidade da Justiça e ineficiência dos serviços prestados.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14. </w:t>
      </w:r>
      <w:r w:rsidR="00BA4696" w:rsidRPr="004A6593">
        <w:rPr>
          <w:rFonts w:ascii="Arial" w:hAnsi="Arial"/>
        </w:rPr>
        <w:t xml:space="preserve">No Estado do Pará, tendo um Oficial de Justiça ingressado com pedido de aposentadoria especial, o TJPA converteu o feito em diligência e mandou que a Divisão de Saúde e Qualidade de Vida daquele tribunal realizasse estudo técnico sobre o pedido formulado, tendo a divisão elaborado um RELATÓRIO DE ANÁLISE DE RISCO DE POSTO DE TRABALHO, que concluiu que a atividade é sim de risco, estando estes servidores expostos a </w:t>
      </w:r>
      <w:r w:rsidR="00BA4696" w:rsidRPr="004A6593">
        <w:rPr>
          <w:rFonts w:ascii="Arial" w:hAnsi="Arial"/>
          <w:b/>
        </w:rPr>
        <w:t>riscos físicos</w:t>
      </w:r>
      <w:r w:rsidR="00BA4696" w:rsidRPr="004A6593">
        <w:rPr>
          <w:rFonts w:ascii="Arial" w:hAnsi="Arial"/>
        </w:rPr>
        <w:t xml:space="preserve"> (calor – insolação – e umidade); </w:t>
      </w:r>
      <w:r w:rsidR="00BA4696" w:rsidRPr="004A6593">
        <w:rPr>
          <w:rFonts w:ascii="Arial" w:hAnsi="Arial"/>
          <w:b/>
        </w:rPr>
        <w:t>riscos ergonômicos</w:t>
      </w:r>
      <w:r w:rsidR="00BA4696" w:rsidRPr="004A6593">
        <w:rPr>
          <w:rFonts w:ascii="Arial" w:hAnsi="Arial"/>
        </w:rPr>
        <w:t xml:space="preserve"> (estresse físico e ou psíquico); </w:t>
      </w:r>
      <w:r w:rsidR="00BA4696" w:rsidRPr="004A6593">
        <w:rPr>
          <w:rFonts w:ascii="Arial" w:hAnsi="Arial"/>
          <w:b/>
        </w:rPr>
        <w:t>riscos de acidente</w:t>
      </w:r>
      <w:r w:rsidR="00BA4696" w:rsidRPr="004A6593">
        <w:rPr>
          <w:rFonts w:ascii="Arial" w:hAnsi="Arial"/>
        </w:rPr>
        <w:t xml:space="preserve"> (Exposição contínua a situações de assaltos, ameaças, agressão verbal e física e etc. Nesse trabalho realizado pela Divisão de Saúde e Qualidade de Vida do TJPA, se verificou que os Oficiais de Justiça não recebem equipamentos de proteção individual, ou </w:t>
      </w:r>
      <w:proofErr w:type="spellStart"/>
      <w:r w:rsidR="00BA4696" w:rsidRPr="004A6593">
        <w:rPr>
          <w:rFonts w:ascii="Arial" w:hAnsi="Arial"/>
        </w:rPr>
        <w:t>EPIs</w:t>
      </w:r>
      <w:proofErr w:type="spellEnd"/>
      <w:r w:rsidR="00BA4696" w:rsidRPr="004A6593">
        <w:rPr>
          <w:rFonts w:ascii="Arial" w:hAnsi="Arial"/>
        </w:rPr>
        <w:t>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autoSpaceDE w:val="0"/>
        <w:autoSpaceDN w:val="0"/>
        <w:adjustRightInd w:val="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15. </w:t>
      </w:r>
      <w:r w:rsidR="00BA4696" w:rsidRPr="004A6593">
        <w:rPr>
          <w:rFonts w:ascii="Arial" w:hAnsi="Arial"/>
        </w:rPr>
        <w:t>Em sua conclusão, o relatório elaborado pelos profissionais em segurança do trabalho e saúde do trabalhador, designados pelo TJPA apontou para as seguintes providências:</w:t>
      </w:r>
      <w:r>
        <w:rPr>
          <w:rFonts w:ascii="Arial" w:hAnsi="Arial"/>
        </w:rPr>
        <w:t xml:space="preserve"> - </w:t>
      </w:r>
      <w:r w:rsidR="00BA4696" w:rsidRPr="004A6593">
        <w:rPr>
          <w:rFonts w:ascii="Arial" w:hAnsi="Arial"/>
        </w:rPr>
        <w:t>Realização constante de cursos de defesa pess</w:t>
      </w:r>
      <w:r>
        <w:rPr>
          <w:rFonts w:ascii="Arial" w:hAnsi="Arial"/>
        </w:rPr>
        <w:t xml:space="preserve">oal para os Oficiais de Justiça; - </w:t>
      </w:r>
      <w:r w:rsidR="00BA4696" w:rsidRPr="004A6593">
        <w:rPr>
          <w:rFonts w:ascii="Arial" w:hAnsi="Arial"/>
        </w:rPr>
        <w:t>Fornecimento de coletes balísticos;</w:t>
      </w:r>
      <w:r>
        <w:rPr>
          <w:rFonts w:ascii="Arial" w:hAnsi="Arial"/>
        </w:rPr>
        <w:t xml:space="preserve"> - </w:t>
      </w:r>
      <w:r w:rsidR="00BA4696" w:rsidRPr="004A6593">
        <w:rPr>
          <w:rFonts w:ascii="Arial" w:hAnsi="Arial"/>
          <w:b/>
        </w:rPr>
        <w:t>Regulamentação do Direito ao porte de armas</w:t>
      </w:r>
      <w:r w:rsidR="00BA4696" w:rsidRPr="004A6593">
        <w:rPr>
          <w:rFonts w:ascii="Arial" w:hAnsi="Arial"/>
        </w:rPr>
        <w:t>;</w:t>
      </w:r>
      <w:r>
        <w:rPr>
          <w:rFonts w:ascii="Arial" w:hAnsi="Arial"/>
        </w:rPr>
        <w:t xml:space="preserve"> - </w:t>
      </w:r>
      <w:r w:rsidR="00BA4696" w:rsidRPr="004A6593">
        <w:rPr>
          <w:rFonts w:ascii="Arial" w:hAnsi="Arial"/>
        </w:rPr>
        <w:t xml:space="preserve">Fornecimento de protetor solar, devido </w:t>
      </w:r>
      <w:proofErr w:type="gramStart"/>
      <w:r w:rsidR="00BA4696" w:rsidRPr="004A6593">
        <w:rPr>
          <w:rFonts w:ascii="Arial" w:hAnsi="Arial"/>
        </w:rPr>
        <w:t>a</w:t>
      </w:r>
      <w:proofErr w:type="gramEnd"/>
      <w:r w:rsidR="00BA4696" w:rsidRPr="004A6593">
        <w:rPr>
          <w:rFonts w:ascii="Arial" w:hAnsi="Arial"/>
        </w:rPr>
        <w:t xml:space="preserve"> constante exposição à radiação solar.</w:t>
      </w:r>
    </w:p>
    <w:p w:rsidR="00BA4696" w:rsidRPr="004A6593" w:rsidRDefault="00BA4696" w:rsidP="00F74278">
      <w:pPr>
        <w:autoSpaceDE w:val="0"/>
        <w:autoSpaceDN w:val="0"/>
        <w:adjustRightInd w:val="0"/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16. </w:t>
      </w:r>
      <w:r w:rsidR="00BA4696" w:rsidRPr="004A6593">
        <w:rPr>
          <w:rFonts w:ascii="Arial" w:hAnsi="Arial"/>
        </w:rPr>
        <w:t>Parece que se está esperando um extermínio de Oficiais de Justiça, para que alguém acorde e veja que o Congresso Nacional cometeu um erro absurdo, ao retirar do projeto original do Estatuto do Desarmamento, o direito do Oficial de Justiça portar arma para defesa pessoal.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17. </w:t>
      </w:r>
      <w:r w:rsidR="00BA4696" w:rsidRPr="004A6593">
        <w:rPr>
          <w:rFonts w:ascii="Arial" w:hAnsi="Arial"/>
        </w:rPr>
        <w:t xml:space="preserve">O Artigo 6º, inciso II do Estatuto do Desarmamento, Lei 10.826 de 2003, </w:t>
      </w:r>
      <w:proofErr w:type="gramStart"/>
      <w:r w:rsidR="00BA4696" w:rsidRPr="004A6593">
        <w:rPr>
          <w:rFonts w:ascii="Arial" w:hAnsi="Arial"/>
        </w:rPr>
        <w:t>diz</w:t>
      </w:r>
      <w:proofErr w:type="gramEnd"/>
      <w:r w:rsidR="00BA4696" w:rsidRPr="004A6593">
        <w:rPr>
          <w:rFonts w:ascii="Arial" w:hAnsi="Arial"/>
        </w:rPr>
        <w:t xml:space="preserve"> que podem portar armas os integrantes de órgãos referidos nos incisos do caput do art. 144 da Constituição Federal, ou seja, nos termos do disposto nesse artigo e respectivo inciso da Constituição Federal, os Bombeiros Militares tem direito ao porte de arma. 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18. </w:t>
      </w:r>
      <w:r w:rsidR="00BA4696" w:rsidRPr="004A6593">
        <w:rPr>
          <w:rFonts w:ascii="Arial" w:hAnsi="Arial"/>
        </w:rPr>
        <w:t xml:space="preserve">Ainda por força dos mesmos dispositivos legais, </w:t>
      </w:r>
      <w:proofErr w:type="gramStart"/>
      <w:r w:rsidR="00BA4696" w:rsidRPr="004A6593">
        <w:rPr>
          <w:rFonts w:ascii="Arial" w:hAnsi="Arial"/>
        </w:rPr>
        <w:t>à</w:t>
      </w:r>
      <w:proofErr w:type="gramEnd"/>
      <w:r w:rsidR="00BA4696" w:rsidRPr="004A6593">
        <w:rPr>
          <w:rFonts w:ascii="Arial" w:hAnsi="Arial"/>
        </w:rPr>
        <w:t xml:space="preserve"> Policia Ferroviária Federal, aos integrantes das Polícias Legislativas da Câmara dos Deputados e do Senado Federal, além dos Guardas Portuários, igual direito é garantido. </w:t>
      </w:r>
      <w:proofErr w:type="gramStart"/>
      <w:r w:rsidR="00BA4696" w:rsidRPr="004A6593">
        <w:rPr>
          <w:rFonts w:ascii="Arial" w:hAnsi="Arial"/>
        </w:rPr>
        <w:t>Nenhum desses profissionais, exceto os Bombeiros Militares, exercem</w:t>
      </w:r>
      <w:proofErr w:type="gramEnd"/>
      <w:r w:rsidR="00BA4696" w:rsidRPr="004A6593">
        <w:rPr>
          <w:rFonts w:ascii="Arial" w:hAnsi="Arial"/>
        </w:rPr>
        <w:t xml:space="preserve"> suas atividades na rua, como o Oficial de Justiça, mas em ambientes fechados, mesmo assim, tem direito ao porte de arma de forma indistinta, estando ou não de serviço e podem portar suas armas em todo o território nacional.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19. </w:t>
      </w:r>
      <w:r w:rsidR="00BA4696" w:rsidRPr="004A6593">
        <w:rPr>
          <w:rFonts w:ascii="Arial" w:hAnsi="Arial"/>
        </w:rPr>
        <w:t>O Oficial de Justiça é o único servidor público do sistema de segurança pública que não tem o direito ao porte de arma. Apesar de não constar no elenco do artigo 144 da Constituição Federal, não se pode vislumbrar que o Poder Judiciário não seja parte integrante do sistema de segurança pública, assim, é de se entender que o Oficial de Justiça é um dos muitos atores que compõe esse sistema.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20. </w:t>
      </w:r>
      <w:r w:rsidR="00BA4696" w:rsidRPr="004A6593">
        <w:rPr>
          <w:rFonts w:ascii="Arial" w:hAnsi="Arial"/>
        </w:rPr>
        <w:t>A proposta de concessão de porte de arma para os Oficiais de Justiça é necessária para reconhecer a demanda desta categoria profissional pela autorização legal para portar arma de fogo, mesmo fora do serviço, sendo imperativo atentar que desde a edição da Lei 10.826/2003 as entidades de classe que representam a categoria, pleiteiam o reconhecimento desse direito aos seus integrantes.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21. </w:t>
      </w:r>
      <w:r w:rsidR="00BA4696" w:rsidRPr="004A6593">
        <w:rPr>
          <w:rFonts w:ascii="Arial" w:hAnsi="Arial"/>
        </w:rPr>
        <w:t>Os dados mostram quem o crime organizado e os criminosos investem contra a vida desses profissionais, que não podem nem devem ser exposto na sua integridade e sob real risco de morte, sem que o Estado lhe provenha de meios que torne viável a legítima defesa no cumprimento da missão estatal.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22. </w:t>
      </w:r>
      <w:r w:rsidR="00A217E4" w:rsidRPr="004A6593">
        <w:rPr>
          <w:rFonts w:ascii="Arial" w:hAnsi="Arial"/>
        </w:rPr>
        <w:t>Conforme Relatório de Homicídios Praticados Contra Oficiais de Justiça após a vigência do Estatuto do Desarmamento lançando pela Federação Nacional dos Oficiais de Justiça do Brasil (</w:t>
      </w:r>
      <w:proofErr w:type="spellStart"/>
      <w:r w:rsidR="00A217E4" w:rsidRPr="004A6593">
        <w:rPr>
          <w:rFonts w:ascii="Arial" w:hAnsi="Arial"/>
        </w:rPr>
        <w:t>Fenojus</w:t>
      </w:r>
      <w:proofErr w:type="spellEnd"/>
      <w:r w:rsidR="00A217E4" w:rsidRPr="004A6593">
        <w:rPr>
          <w:rFonts w:ascii="Arial" w:hAnsi="Arial"/>
        </w:rPr>
        <w:t>) de março/2016</w:t>
      </w:r>
      <w:r w:rsidR="00BA4696" w:rsidRPr="004A6593">
        <w:rPr>
          <w:rFonts w:ascii="Arial" w:hAnsi="Arial"/>
        </w:rPr>
        <w:t>, desde a vigência do Estatuto do Desarmamento, Lei 10.826/2003, pelo menos vinte e quatro (24) Oficiais de Justiça foram mortos, e mais de vinte (20) foram vítimas de tentativas de homicídios, número maior que o de policiais federais abatidos no mesmo período e nas mesmas condições.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BA4696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23. </w:t>
      </w:r>
      <w:r w:rsidR="00BA4696" w:rsidRPr="004A6593">
        <w:rPr>
          <w:rFonts w:ascii="Arial" w:hAnsi="Arial"/>
          <w:shd w:val="clear" w:color="auto" w:fill="FFFFFF"/>
        </w:rPr>
        <w:t xml:space="preserve">A Revista "Isto É", edição n.º 2285, de 30 de agosto de 2013, informa que em 40 anos 36 policiais federais perderam a vida no cumprimento da função. No caso dos oficiais de Justiça ocorreram 24 mortes desde que o Estatuto do Desarmamento entrou em vigor (final de </w:t>
      </w:r>
      <w:smartTag w:uri="urn:schemas-microsoft-com:office:smarttags" w:element="metricconverter">
        <w:smartTagPr>
          <w:attr w:name="ProductID" w:val="2003 a"/>
        </w:smartTagPr>
        <w:r w:rsidR="00BA4696" w:rsidRPr="004A6593">
          <w:rPr>
            <w:rFonts w:ascii="Arial" w:hAnsi="Arial"/>
            <w:shd w:val="clear" w:color="auto" w:fill="FFFFFF"/>
          </w:rPr>
          <w:t>2003 a</w:t>
        </w:r>
      </w:smartTag>
      <w:r w:rsidR="00BA4696" w:rsidRPr="004A6593">
        <w:rPr>
          <w:rFonts w:ascii="Arial" w:hAnsi="Arial"/>
          <w:shd w:val="clear" w:color="auto" w:fill="FFFFFF"/>
        </w:rPr>
        <w:t xml:space="preserve"> 2015). E nos últimos 10 anos (</w:t>
      </w:r>
      <w:smartTag w:uri="urn:schemas-microsoft-com:office:smarttags" w:element="metricconverter">
        <w:smartTagPr>
          <w:attr w:name="ProductID" w:val="2006 a"/>
        </w:smartTagPr>
        <w:r w:rsidR="00BA4696" w:rsidRPr="004A6593">
          <w:rPr>
            <w:rFonts w:ascii="Arial" w:hAnsi="Arial"/>
            <w:shd w:val="clear" w:color="auto" w:fill="FFFFFF"/>
          </w:rPr>
          <w:t>2006 a</w:t>
        </w:r>
      </w:smartTag>
      <w:r w:rsidR="00BA4696" w:rsidRPr="004A6593">
        <w:rPr>
          <w:rFonts w:ascii="Arial" w:hAnsi="Arial"/>
          <w:shd w:val="clear" w:color="auto" w:fill="FFFFFF"/>
        </w:rPr>
        <w:t xml:space="preserve"> 2015), foram registrados ao menos 23 assassinatos de oficiais de Justiça. Assim, comparando o número de mortes de oficiais de Justiça e policiais federais vítimas de assassinatos, conclui-se que o exercício da atividade de oficial de Justiça oferece mais risco de vida do que a atividade policial no âmbito da Polícia Federal.</w:t>
      </w:r>
    </w:p>
    <w:p w:rsidR="00BA4696" w:rsidRPr="004A6593" w:rsidRDefault="00BA4696" w:rsidP="00F74278">
      <w:pPr>
        <w:ind w:firstLine="851"/>
        <w:jc w:val="both"/>
        <w:rPr>
          <w:rFonts w:ascii="Arial" w:hAnsi="Arial"/>
        </w:rPr>
      </w:pPr>
    </w:p>
    <w:p w:rsidR="00023178" w:rsidRPr="004A6593" w:rsidRDefault="004A6593" w:rsidP="00F74278">
      <w:pPr>
        <w:ind w:firstLine="851"/>
        <w:jc w:val="both"/>
        <w:rPr>
          <w:rFonts w:ascii="Arial" w:hAnsi="Arial"/>
        </w:rPr>
      </w:pPr>
      <w:r>
        <w:rPr>
          <w:rFonts w:ascii="Arial" w:hAnsi="Arial"/>
        </w:rPr>
        <w:t xml:space="preserve">24. </w:t>
      </w:r>
      <w:r w:rsidR="00BA4696" w:rsidRPr="004A6593">
        <w:rPr>
          <w:rFonts w:ascii="Arial" w:hAnsi="Arial"/>
        </w:rPr>
        <w:t xml:space="preserve">Dados da Federação Nacional dos Oficiais de Justiça </w:t>
      </w:r>
      <w:r w:rsidR="00023178" w:rsidRPr="004A6593">
        <w:rPr>
          <w:rFonts w:ascii="Arial" w:hAnsi="Arial"/>
        </w:rPr>
        <w:t xml:space="preserve">do Brasil </w:t>
      </w:r>
      <w:r w:rsidR="00BA4696" w:rsidRPr="004A6593">
        <w:rPr>
          <w:rFonts w:ascii="Arial" w:hAnsi="Arial"/>
        </w:rPr>
        <w:t>(</w:t>
      </w:r>
      <w:proofErr w:type="spellStart"/>
      <w:r w:rsidR="00BA4696" w:rsidRPr="004A6593">
        <w:rPr>
          <w:rFonts w:ascii="Arial" w:hAnsi="Arial"/>
        </w:rPr>
        <w:t>Fenojus</w:t>
      </w:r>
      <w:proofErr w:type="spellEnd"/>
      <w:r w:rsidR="00BA4696" w:rsidRPr="004A6593">
        <w:rPr>
          <w:rFonts w:ascii="Arial" w:hAnsi="Arial"/>
        </w:rPr>
        <w:t>) indicam que no Brasil há mais de 32.000 Oficiais de Justiça (Estaduais e Federais) o que indica ser impossível um suposto acompanhamento policial nas diligências, já que</w:t>
      </w:r>
      <w:r w:rsidR="00AF527F" w:rsidRPr="004A6593">
        <w:rPr>
          <w:rFonts w:ascii="Arial" w:hAnsi="Arial"/>
        </w:rPr>
        <w:t xml:space="preserve"> esses oficiais de Justiça realizam cerca de</w:t>
      </w:r>
      <w:r w:rsidR="00BA4696" w:rsidRPr="004A6593">
        <w:rPr>
          <w:rFonts w:ascii="Arial" w:hAnsi="Arial"/>
        </w:rPr>
        <w:t xml:space="preserve"> 04 m</w:t>
      </w:r>
      <w:r w:rsidR="00AF527F" w:rsidRPr="004A6593">
        <w:rPr>
          <w:rFonts w:ascii="Arial" w:hAnsi="Arial"/>
        </w:rPr>
        <w:t>ilhões de diligências/mês. Convém ainda destacar que nos raros casos de apoio policial aos oficiais de Justiça há o destacamento de dois</w:t>
      </w:r>
      <w:proofErr w:type="gramStart"/>
      <w:r w:rsidR="00AF527F" w:rsidRPr="004A6593">
        <w:rPr>
          <w:rFonts w:ascii="Arial" w:hAnsi="Arial"/>
        </w:rPr>
        <w:t xml:space="preserve">  </w:t>
      </w:r>
      <w:proofErr w:type="gramEnd"/>
      <w:r w:rsidR="00AF527F" w:rsidRPr="004A6593">
        <w:rPr>
          <w:rFonts w:ascii="Arial" w:hAnsi="Arial"/>
        </w:rPr>
        <w:t>ou mais policiais e que se apenas dois policiais acompanhasse cada oficial de Justiça em diligência (32 mil) seriam necessários mais 64 mil policiais para acompanhar os oficiais de Justiça diariamente.</w:t>
      </w:r>
    </w:p>
    <w:p w:rsidR="00023178" w:rsidRPr="004A6593" w:rsidRDefault="00023178" w:rsidP="00F74278">
      <w:pPr>
        <w:ind w:firstLine="851"/>
        <w:jc w:val="both"/>
        <w:rPr>
          <w:rFonts w:ascii="Arial" w:hAnsi="Arial"/>
        </w:rPr>
      </w:pPr>
    </w:p>
    <w:p w:rsidR="00634209" w:rsidRPr="004A6593" w:rsidRDefault="004A6593" w:rsidP="00F74278">
      <w:pPr>
        <w:ind w:firstLine="851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25. </w:t>
      </w:r>
      <w:r w:rsidR="00023178" w:rsidRPr="004A6593">
        <w:rPr>
          <w:rFonts w:ascii="Arial" w:hAnsi="Arial"/>
          <w:shd w:val="clear" w:color="auto" w:fill="FFFFFF"/>
        </w:rPr>
        <w:t xml:space="preserve">O Supremo Tribunal Federal e os tribunais superiores </w:t>
      </w:r>
      <w:r w:rsidR="00634209" w:rsidRPr="004A6593">
        <w:rPr>
          <w:rFonts w:ascii="Arial" w:hAnsi="Arial"/>
          <w:shd w:val="clear" w:color="auto" w:fill="FFFFFF"/>
        </w:rPr>
        <w:t>possuem competência para</w:t>
      </w:r>
      <w:r w:rsidR="00023178" w:rsidRPr="004A6593">
        <w:rPr>
          <w:rFonts w:ascii="Arial" w:hAnsi="Arial"/>
          <w:shd w:val="clear" w:color="auto" w:fill="FFFFFF"/>
        </w:rPr>
        <w:t xml:space="preserve"> apresentar projetos sobre matérias de interesse institucional do Poder Judiciário, como o Estatuto da Magistratura, alteração do número de membros dos tribunais inferiores, mudanças na organização judiciária, criação de cargos, atribuições e prerrogativas de seus servidores, etc. (Constituição, art. 96, II).</w:t>
      </w:r>
    </w:p>
    <w:p w:rsidR="00634209" w:rsidRPr="004A6593" w:rsidRDefault="00634209" w:rsidP="00F74278">
      <w:pPr>
        <w:ind w:firstLine="851"/>
        <w:jc w:val="both"/>
        <w:rPr>
          <w:rFonts w:ascii="Arial" w:hAnsi="Arial"/>
          <w:shd w:val="clear" w:color="auto" w:fill="FFFFFF"/>
        </w:rPr>
      </w:pPr>
    </w:p>
    <w:p w:rsidR="00634209" w:rsidRPr="004A6593" w:rsidRDefault="004A6593" w:rsidP="00F74278">
      <w:pPr>
        <w:ind w:firstLine="851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26. </w:t>
      </w:r>
      <w:r w:rsidR="00023178" w:rsidRPr="004A6593">
        <w:rPr>
          <w:rFonts w:ascii="Arial" w:hAnsi="Arial"/>
          <w:shd w:val="clear" w:color="auto" w:fill="FFFFFF"/>
        </w:rPr>
        <w:t xml:space="preserve">Portanto, a Constituição Federal (art. 96, II) concede autonomia ao Supremo Tribunal Federal e aos tribunais superiores a iniciativa de enviar ao Congresso Nacional </w:t>
      </w:r>
      <w:proofErr w:type="gramStart"/>
      <w:r w:rsidR="00023178" w:rsidRPr="004A6593">
        <w:rPr>
          <w:rFonts w:ascii="Arial" w:hAnsi="Arial"/>
          <w:shd w:val="clear" w:color="auto" w:fill="FFFFFF"/>
        </w:rPr>
        <w:t>Projeto</w:t>
      </w:r>
      <w:proofErr w:type="gramEnd"/>
      <w:r w:rsidR="00023178" w:rsidRPr="004A6593">
        <w:rPr>
          <w:rFonts w:ascii="Arial" w:hAnsi="Arial"/>
          <w:shd w:val="clear" w:color="auto" w:fill="FFFFFF"/>
        </w:rPr>
        <w:t xml:space="preserve"> de Lei autorizando seus servidores, no caso a categoria </w:t>
      </w:r>
      <w:r w:rsidR="00023178" w:rsidRPr="004A6593">
        <w:rPr>
          <w:rFonts w:ascii="Arial" w:hAnsi="Arial"/>
          <w:shd w:val="clear" w:color="auto" w:fill="FFFFFF"/>
        </w:rPr>
        <w:lastRenderedPageBreak/>
        <w:t>dos Oficiais de Justiça, autorização para portar arma de fogo. Projeto de Lei nesse sentido poderá alterar o atual Estatuto dos Servidores do Poder Judiciário da União (Lei n.º 11.416/2006) com o objetivo de autorizar a categoria dos Oficiais de Justiça a portar arma de fogo, em serviço ou fora dele, dando o direito a estes servidores o direito de se defender, pois estão sujeitos a risco de vida em serviço ou fora dele. O Conselho Nacional de Justiça, assim como ocorreu com o porte de arma concedida aos Agentes de Segurança do Poder Judiciário, poderá ser o órgão responsável pela regulamentação da lei, quando aprovada, podendo estabelecer treinamentos periódicos e obrigatórios para os Oficiais de Justiça que fizerem opção pelo uso do direito ao porte de arma.</w:t>
      </w:r>
      <w:r w:rsidR="00634209" w:rsidRPr="004A6593">
        <w:rPr>
          <w:rFonts w:ascii="Arial" w:hAnsi="Arial"/>
          <w:shd w:val="clear" w:color="auto" w:fill="FFFFFF"/>
        </w:rPr>
        <w:t xml:space="preserve"> </w:t>
      </w:r>
    </w:p>
    <w:p w:rsidR="00634209" w:rsidRPr="004A6593" w:rsidRDefault="00634209" w:rsidP="00F74278">
      <w:pPr>
        <w:ind w:firstLine="851"/>
        <w:jc w:val="both"/>
        <w:rPr>
          <w:rFonts w:ascii="Arial" w:hAnsi="Arial"/>
          <w:shd w:val="clear" w:color="auto" w:fill="FFFFFF"/>
        </w:rPr>
      </w:pPr>
    </w:p>
    <w:p w:rsidR="00023178" w:rsidRPr="004A6593" w:rsidRDefault="004A6593" w:rsidP="00F74278">
      <w:pPr>
        <w:ind w:firstLine="851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27. </w:t>
      </w:r>
      <w:r w:rsidR="004F121B" w:rsidRPr="004A6593">
        <w:rPr>
          <w:rFonts w:ascii="Arial" w:hAnsi="Arial"/>
          <w:shd w:val="clear" w:color="auto" w:fill="FFFFFF"/>
        </w:rPr>
        <w:t xml:space="preserve">Pelo exposto, devemos atuar junto ao Poder Judiciário objetivando o envio de Projeto de Lei ao Congresso Nacional, de iniciativa do </w:t>
      </w:r>
      <w:r>
        <w:rPr>
          <w:rFonts w:ascii="Arial" w:hAnsi="Arial"/>
          <w:shd w:val="clear" w:color="auto" w:fill="FFFFFF"/>
        </w:rPr>
        <w:t>STF</w:t>
      </w:r>
      <w:r w:rsidR="004F121B" w:rsidRPr="004A6593">
        <w:rPr>
          <w:rFonts w:ascii="Arial" w:hAnsi="Arial"/>
          <w:shd w:val="clear" w:color="auto" w:fill="FFFFFF"/>
        </w:rPr>
        <w:t>, com o objetivo de</w:t>
      </w:r>
      <w:r w:rsidR="00023178" w:rsidRPr="004A6593">
        <w:rPr>
          <w:rFonts w:ascii="Arial" w:hAnsi="Arial"/>
          <w:shd w:val="clear" w:color="auto" w:fill="FFFFFF"/>
        </w:rPr>
        <w:t xml:space="preserve"> alterar a Lei 11.416/2006</w:t>
      </w:r>
      <w:r w:rsidR="004F121B" w:rsidRPr="004A6593">
        <w:rPr>
          <w:rFonts w:ascii="Arial" w:hAnsi="Arial"/>
          <w:shd w:val="clear" w:color="auto" w:fill="FFFFFF"/>
        </w:rPr>
        <w:t xml:space="preserve"> e autorizar a categoria</w:t>
      </w:r>
      <w:r w:rsidR="00023178" w:rsidRPr="004A6593">
        <w:rPr>
          <w:rFonts w:ascii="Arial" w:hAnsi="Arial"/>
          <w:shd w:val="clear" w:color="auto" w:fill="FFFFFF"/>
        </w:rPr>
        <w:t xml:space="preserve"> dos Oficiais de Justiça a portar arma de fogo em serviço ou fora dele,</w:t>
      </w:r>
      <w:r w:rsidR="004F121B" w:rsidRPr="004A6593">
        <w:rPr>
          <w:rFonts w:ascii="Arial" w:hAnsi="Arial"/>
          <w:shd w:val="clear" w:color="auto" w:fill="FFFFFF"/>
        </w:rPr>
        <w:t xml:space="preserve"> e</w:t>
      </w:r>
      <w:r w:rsidR="00023178" w:rsidRPr="004A6593">
        <w:rPr>
          <w:rFonts w:ascii="Arial" w:hAnsi="Arial"/>
          <w:shd w:val="clear" w:color="auto" w:fill="FFFFFF"/>
        </w:rPr>
        <w:t xml:space="preserve"> previsão de regulamentação pelo Conselho Nacional de Justiça.</w:t>
      </w:r>
    </w:p>
    <w:p w:rsidR="00F74278" w:rsidRDefault="00F74278" w:rsidP="00F74278">
      <w:pPr>
        <w:jc w:val="both"/>
      </w:pPr>
    </w:p>
    <w:p w:rsidR="00F74278" w:rsidRPr="003B243F" w:rsidRDefault="00F74278" w:rsidP="00F74278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Cs w:val="27"/>
        </w:rPr>
      </w:pPr>
      <w:r w:rsidRPr="003B243F">
        <w:rPr>
          <w:rFonts w:ascii="Arial" w:hAnsi="Arial" w:cs="Arial"/>
          <w:b/>
          <w:color w:val="000000"/>
          <w:szCs w:val="27"/>
        </w:rPr>
        <w:t>Delegados proponentes:</w:t>
      </w:r>
    </w:p>
    <w:p w:rsidR="00F74278" w:rsidRPr="003B243F" w:rsidRDefault="00F74278" w:rsidP="00F7427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7"/>
        </w:rPr>
      </w:pPr>
    </w:p>
    <w:p w:rsidR="009F79D1" w:rsidRPr="003B243F" w:rsidRDefault="009F79D1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Edinaldo</w:t>
      </w:r>
      <w:proofErr w:type="spellEnd"/>
      <w:r w:rsidRPr="003B243F">
        <w:rPr>
          <w:rFonts w:ascii="Arial" w:hAnsi="Arial" w:cs="Arial"/>
        </w:rPr>
        <w:t xml:space="preserve"> Gomes da Silva (Dino)</w:t>
      </w:r>
    </w:p>
    <w:p w:rsidR="00166A65" w:rsidRPr="003B243F" w:rsidRDefault="00166A65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Gerardo Alves Lima Filho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Maria da Conceição Mendes Oliveira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Daniela da Silva Pontual Machado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Fúlvio Luiz de Freitas Barros</w:t>
      </w:r>
    </w:p>
    <w:p w:rsidR="009F79D1" w:rsidRPr="003B243F" w:rsidRDefault="009F79D1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Milca</w:t>
      </w:r>
      <w:proofErr w:type="spellEnd"/>
      <w:r w:rsidRPr="003B243F">
        <w:rPr>
          <w:rFonts w:ascii="Arial" w:hAnsi="Arial" w:cs="Arial"/>
        </w:rPr>
        <w:t xml:space="preserve"> Célia Gusmão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Lucas José Dantas Freitas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 xml:space="preserve">Janete </w:t>
      </w:r>
      <w:proofErr w:type="spellStart"/>
      <w:r w:rsidRPr="003B243F">
        <w:rPr>
          <w:rFonts w:ascii="Arial" w:hAnsi="Arial" w:cs="Arial"/>
        </w:rPr>
        <w:t>Elane</w:t>
      </w:r>
      <w:proofErr w:type="spellEnd"/>
      <w:r w:rsidRPr="003B243F">
        <w:rPr>
          <w:rFonts w:ascii="Arial" w:hAnsi="Arial" w:cs="Arial"/>
        </w:rPr>
        <w:t xml:space="preserve"> Sena Belchior</w:t>
      </w:r>
    </w:p>
    <w:p w:rsidR="009F79D1" w:rsidRPr="003B243F" w:rsidRDefault="009F79D1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Jordana</w:t>
      </w:r>
      <w:proofErr w:type="spellEnd"/>
      <w:r w:rsidRPr="003B243F">
        <w:rPr>
          <w:rFonts w:ascii="Arial" w:hAnsi="Arial" w:cs="Arial"/>
        </w:rPr>
        <w:t xml:space="preserve"> </w:t>
      </w:r>
      <w:proofErr w:type="spellStart"/>
      <w:r w:rsidRPr="003B243F">
        <w:rPr>
          <w:rFonts w:ascii="Arial" w:hAnsi="Arial" w:cs="Arial"/>
        </w:rPr>
        <w:t>Marcia</w:t>
      </w:r>
      <w:proofErr w:type="spellEnd"/>
      <w:r w:rsidRPr="003B243F">
        <w:rPr>
          <w:rFonts w:ascii="Arial" w:hAnsi="Arial" w:cs="Arial"/>
        </w:rPr>
        <w:t xml:space="preserve"> Neves Pereira</w:t>
      </w:r>
    </w:p>
    <w:p w:rsidR="009F79D1" w:rsidRPr="003B243F" w:rsidRDefault="009F79D1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Eldo</w:t>
      </w:r>
      <w:proofErr w:type="spellEnd"/>
      <w:r w:rsidRPr="003B243F">
        <w:rPr>
          <w:rFonts w:ascii="Arial" w:hAnsi="Arial" w:cs="Arial"/>
        </w:rPr>
        <w:t xml:space="preserve"> Luiz Pereira de Abreu</w:t>
      </w:r>
    </w:p>
    <w:p w:rsidR="009F79D1" w:rsidRPr="003B243F" w:rsidRDefault="009F79D1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Aldinon</w:t>
      </w:r>
      <w:proofErr w:type="spellEnd"/>
      <w:r w:rsidRPr="003B243F">
        <w:rPr>
          <w:rFonts w:ascii="Arial" w:hAnsi="Arial" w:cs="Arial"/>
        </w:rPr>
        <w:t xml:space="preserve"> Vicente Silva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Júnior Alves</w:t>
      </w:r>
    </w:p>
    <w:p w:rsidR="009F79D1" w:rsidRPr="003B243F" w:rsidRDefault="009F79D1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Alzir</w:t>
      </w:r>
      <w:proofErr w:type="spellEnd"/>
      <w:r w:rsidRPr="003B243F">
        <w:rPr>
          <w:rFonts w:ascii="Arial" w:hAnsi="Arial" w:cs="Arial"/>
        </w:rPr>
        <w:t xml:space="preserve"> </w:t>
      </w:r>
      <w:proofErr w:type="spellStart"/>
      <w:r w:rsidRPr="003B243F">
        <w:rPr>
          <w:rFonts w:ascii="Arial" w:hAnsi="Arial" w:cs="Arial"/>
        </w:rPr>
        <w:t>Penafote</w:t>
      </w:r>
      <w:proofErr w:type="spellEnd"/>
      <w:r w:rsidRPr="003B243F">
        <w:rPr>
          <w:rFonts w:ascii="Arial" w:hAnsi="Arial" w:cs="Arial"/>
        </w:rPr>
        <w:t xml:space="preserve"> Brito Filho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 xml:space="preserve">Carolina Cavalcante </w:t>
      </w:r>
      <w:proofErr w:type="spellStart"/>
      <w:r w:rsidRPr="003B243F">
        <w:rPr>
          <w:rFonts w:ascii="Arial" w:hAnsi="Arial" w:cs="Arial"/>
        </w:rPr>
        <w:t>Lipinski</w:t>
      </w:r>
      <w:proofErr w:type="spellEnd"/>
    </w:p>
    <w:p w:rsidR="00F715B4" w:rsidRPr="003B243F" w:rsidRDefault="00F715B4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Bruno Jorge Mota Cavalcanti</w:t>
      </w:r>
    </w:p>
    <w:p w:rsidR="00FA4659" w:rsidRPr="003B243F" w:rsidRDefault="00FA4659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Juno Rego</w:t>
      </w:r>
    </w:p>
    <w:p w:rsidR="00E84264" w:rsidRPr="003B243F" w:rsidRDefault="00E84264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Ivo Oliveira Farias</w:t>
      </w:r>
    </w:p>
    <w:p w:rsidR="00E84264" w:rsidRPr="003B243F" w:rsidRDefault="00E84264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Rômulo de Carvalho Chaves</w:t>
      </w:r>
    </w:p>
    <w:p w:rsidR="00B527F4" w:rsidRPr="003B243F" w:rsidRDefault="00B527F4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E</w:t>
      </w:r>
      <w:r w:rsidR="003B243F" w:rsidRPr="003B243F">
        <w:rPr>
          <w:rFonts w:ascii="Arial" w:hAnsi="Arial" w:cs="Arial"/>
        </w:rPr>
        <w:t>usa</w:t>
      </w:r>
      <w:proofErr w:type="spellEnd"/>
      <w:r w:rsidRPr="003B243F">
        <w:rPr>
          <w:rFonts w:ascii="Arial" w:hAnsi="Arial" w:cs="Arial"/>
        </w:rPr>
        <w:t xml:space="preserve"> Maria de Oliveira Braga Fernandes</w:t>
      </w:r>
    </w:p>
    <w:p w:rsidR="003B243F" w:rsidRPr="003B243F" w:rsidRDefault="003B243F" w:rsidP="009F79D1">
      <w:pPr>
        <w:rPr>
          <w:rFonts w:ascii="Arial" w:hAnsi="Arial" w:cs="Arial"/>
        </w:rPr>
      </w:pPr>
      <w:proofErr w:type="spellStart"/>
      <w:r w:rsidRPr="003B243F">
        <w:rPr>
          <w:rFonts w:ascii="Arial" w:hAnsi="Arial" w:cs="Arial"/>
        </w:rPr>
        <w:t>Glaucio</w:t>
      </w:r>
      <w:proofErr w:type="spellEnd"/>
      <w:r w:rsidRPr="003B243F">
        <w:rPr>
          <w:rFonts w:ascii="Arial" w:hAnsi="Arial" w:cs="Arial"/>
        </w:rPr>
        <w:t xml:space="preserve"> Luiz da Silva</w:t>
      </w:r>
    </w:p>
    <w:p w:rsidR="003B243F" w:rsidRPr="003B243F" w:rsidRDefault="003B243F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Walter Marques Nobre</w:t>
      </w:r>
    </w:p>
    <w:p w:rsidR="009F79D1" w:rsidRPr="003B243F" w:rsidRDefault="009F79D1" w:rsidP="009F79D1">
      <w:pPr>
        <w:rPr>
          <w:rFonts w:ascii="Arial" w:hAnsi="Arial" w:cs="Arial"/>
        </w:rPr>
      </w:pPr>
    </w:p>
    <w:p w:rsidR="009F79D1" w:rsidRPr="003B243F" w:rsidRDefault="009F79D1" w:rsidP="009F79D1">
      <w:pPr>
        <w:rPr>
          <w:rFonts w:ascii="Arial" w:hAnsi="Arial" w:cs="Arial"/>
          <w:b/>
        </w:rPr>
      </w:pPr>
      <w:r w:rsidRPr="003B243F">
        <w:rPr>
          <w:rFonts w:ascii="Arial" w:hAnsi="Arial" w:cs="Arial"/>
          <w:b/>
        </w:rPr>
        <w:t xml:space="preserve">Observadores: </w:t>
      </w:r>
    </w:p>
    <w:p w:rsidR="009F79D1" w:rsidRPr="003B243F" w:rsidRDefault="009F79D1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>Luciana Tavares de Paula</w:t>
      </w:r>
    </w:p>
    <w:p w:rsidR="001F4FE4" w:rsidRPr="003B243F" w:rsidRDefault="001F4FE4" w:rsidP="009F79D1">
      <w:pPr>
        <w:rPr>
          <w:rFonts w:ascii="Arial" w:hAnsi="Arial" w:cs="Arial"/>
        </w:rPr>
      </w:pPr>
      <w:r w:rsidRPr="003B243F">
        <w:rPr>
          <w:rFonts w:ascii="Arial" w:hAnsi="Arial" w:cs="Arial"/>
        </w:rPr>
        <w:t xml:space="preserve">Paula </w:t>
      </w:r>
      <w:proofErr w:type="spellStart"/>
      <w:r w:rsidRPr="003B243F">
        <w:rPr>
          <w:rFonts w:ascii="Arial" w:hAnsi="Arial" w:cs="Arial"/>
        </w:rPr>
        <w:t>Drumond</w:t>
      </w:r>
      <w:proofErr w:type="spellEnd"/>
      <w:r w:rsidRPr="003B243F">
        <w:rPr>
          <w:rFonts w:ascii="Arial" w:hAnsi="Arial" w:cs="Arial"/>
        </w:rPr>
        <w:t xml:space="preserve"> </w:t>
      </w:r>
      <w:proofErr w:type="spellStart"/>
      <w:r w:rsidRPr="003B243F">
        <w:rPr>
          <w:rFonts w:ascii="Arial" w:hAnsi="Arial" w:cs="Arial"/>
        </w:rPr>
        <w:t>Meniconi</w:t>
      </w:r>
      <w:proofErr w:type="spellEnd"/>
    </w:p>
    <w:p w:rsidR="00AF527F" w:rsidRDefault="00AF527F" w:rsidP="00BA4696">
      <w:pPr>
        <w:ind w:firstLine="720"/>
        <w:jc w:val="both"/>
      </w:pPr>
    </w:p>
    <w:p w:rsidR="00AF527F" w:rsidRPr="00681805" w:rsidRDefault="00AF527F" w:rsidP="00BA4696">
      <w:pPr>
        <w:ind w:firstLine="720"/>
        <w:jc w:val="both"/>
      </w:pPr>
    </w:p>
    <w:p w:rsidR="006D3591" w:rsidRDefault="006D3591"/>
    <w:sectPr w:rsidR="006D3591" w:rsidSect="004A65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B5D"/>
    <w:multiLevelType w:val="hybridMultilevel"/>
    <w:tmpl w:val="6CB02B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696"/>
    <w:rsid w:val="00023178"/>
    <w:rsid w:val="00166A65"/>
    <w:rsid w:val="001F4FE4"/>
    <w:rsid w:val="002B0016"/>
    <w:rsid w:val="00384E90"/>
    <w:rsid w:val="003B243F"/>
    <w:rsid w:val="004A6593"/>
    <w:rsid w:val="004F121B"/>
    <w:rsid w:val="00584F31"/>
    <w:rsid w:val="00634209"/>
    <w:rsid w:val="006D3591"/>
    <w:rsid w:val="00826ADE"/>
    <w:rsid w:val="008A3CB3"/>
    <w:rsid w:val="009D3B43"/>
    <w:rsid w:val="009F79D1"/>
    <w:rsid w:val="00A217E4"/>
    <w:rsid w:val="00AC4CB1"/>
    <w:rsid w:val="00AF527F"/>
    <w:rsid w:val="00B527F4"/>
    <w:rsid w:val="00BA4696"/>
    <w:rsid w:val="00C4041C"/>
    <w:rsid w:val="00D829D6"/>
    <w:rsid w:val="00D8346E"/>
    <w:rsid w:val="00E84264"/>
    <w:rsid w:val="00F715B4"/>
    <w:rsid w:val="00F74278"/>
    <w:rsid w:val="00FA4659"/>
    <w:rsid w:val="00FB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96"/>
    <w:pPr>
      <w:spacing w:after="0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A469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BA469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uiPriority w:val="99"/>
    <w:rsid w:val="00BA46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A6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sojafgo.org.br/wp-content/uploads/2015/03/relatorio-crimes-contra-oficiais-justica-mar2015.pdf%20-%20acesso%20em%2010/11/2015%20&#224;s%2022: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2283</Words>
  <Characters>12332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21</cp:revision>
  <dcterms:created xsi:type="dcterms:W3CDTF">2016-04-07T03:26:00Z</dcterms:created>
  <dcterms:modified xsi:type="dcterms:W3CDTF">2016-04-09T02:26:00Z</dcterms:modified>
</cp:coreProperties>
</file>